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09" w:rsidRPr="0052783C" w:rsidRDefault="00ED79A7">
      <w:pPr>
        <w:rPr>
          <w:rFonts w:ascii="Garamond" w:hAnsi="Garamond"/>
          <w:b/>
          <w:sz w:val="24"/>
          <w:szCs w:val="24"/>
          <w:lang w:val="en-US"/>
        </w:rPr>
      </w:pPr>
      <w:r w:rsidRPr="0052783C">
        <w:rPr>
          <w:rFonts w:ascii="Garamond" w:hAnsi="Garamond"/>
          <w:b/>
          <w:sz w:val="24"/>
          <w:szCs w:val="24"/>
          <w:lang w:val="en-US"/>
        </w:rPr>
        <w:t>Merca</w:t>
      </w:r>
      <w:r w:rsidR="00D94A1C">
        <w:rPr>
          <w:rFonts w:ascii="Garamond" w:hAnsi="Garamond"/>
          <w:b/>
          <w:sz w:val="24"/>
          <w:szCs w:val="24"/>
          <w:lang w:val="en-US"/>
        </w:rPr>
        <w:t xml:space="preserve">ntilist </w:t>
      </w:r>
      <w:proofErr w:type="spellStart"/>
      <w:r w:rsidR="00D94A1C">
        <w:rPr>
          <w:rFonts w:ascii="Garamond" w:hAnsi="Garamond"/>
          <w:b/>
          <w:sz w:val="24"/>
          <w:szCs w:val="24"/>
          <w:lang w:val="en-US"/>
        </w:rPr>
        <w:t>Materialities</w:t>
      </w:r>
      <w:proofErr w:type="spellEnd"/>
      <w:r w:rsidR="00D94A1C">
        <w:rPr>
          <w:rFonts w:ascii="Garamond" w:hAnsi="Garamond"/>
          <w:b/>
          <w:sz w:val="24"/>
          <w:szCs w:val="24"/>
          <w:lang w:val="en-US"/>
        </w:rPr>
        <w:t>: people, things, colonialism and g</w:t>
      </w:r>
      <w:r w:rsidRPr="0052783C">
        <w:rPr>
          <w:rFonts w:ascii="Garamond" w:hAnsi="Garamond"/>
          <w:b/>
          <w:sz w:val="24"/>
          <w:szCs w:val="24"/>
          <w:lang w:val="en-US"/>
        </w:rPr>
        <w:t>lobalization</w:t>
      </w:r>
      <w:r w:rsidR="00D94A1C">
        <w:rPr>
          <w:rFonts w:ascii="Garamond" w:hAnsi="Garamond"/>
          <w:b/>
          <w:sz w:val="24"/>
          <w:szCs w:val="24"/>
          <w:lang w:val="en-US"/>
        </w:rPr>
        <w:t xml:space="preserve"> in seventeenth century Scandinav</w:t>
      </w:r>
      <w:bookmarkStart w:id="0" w:name="_GoBack"/>
      <w:bookmarkEnd w:id="0"/>
      <w:r w:rsidR="00D94A1C">
        <w:rPr>
          <w:rFonts w:ascii="Garamond" w:hAnsi="Garamond"/>
          <w:b/>
          <w:sz w:val="24"/>
          <w:szCs w:val="24"/>
          <w:lang w:val="en-US"/>
        </w:rPr>
        <w:t>ia and India</w:t>
      </w:r>
    </w:p>
    <w:p w:rsidR="00ED79A7" w:rsidRPr="0052783C" w:rsidRDefault="00ED79A7">
      <w:pPr>
        <w:rPr>
          <w:rFonts w:ascii="Garamond" w:hAnsi="Garamond"/>
          <w:sz w:val="24"/>
          <w:szCs w:val="24"/>
          <w:lang w:val="en-US"/>
        </w:rPr>
      </w:pPr>
      <w:r w:rsidRPr="0052783C">
        <w:rPr>
          <w:rFonts w:ascii="Garamond" w:hAnsi="Garamond"/>
          <w:sz w:val="24"/>
          <w:szCs w:val="24"/>
          <w:lang w:val="en-US"/>
        </w:rPr>
        <w:t>Jonas M Nordin, department of Archaeology and Ancient History, Uppsala University.</w:t>
      </w:r>
    </w:p>
    <w:p w:rsidR="00ED79A7" w:rsidRPr="0052783C" w:rsidRDefault="00844408">
      <w:pPr>
        <w:rPr>
          <w:rFonts w:ascii="Garamond" w:hAnsi="Garamond"/>
          <w:sz w:val="24"/>
          <w:szCs w:val="24"/>
          <w:lang w:val="en-US"/>
        </w:rPr>
      </w:pPr>
      <w:hyperlink r:id="rId8" w:history="1">
        <w:r w:rsidR="00D87AA0" w:rsidRPr="00C02A2B">
          <w:rPr>
            <w:rStyle w:val="Hyperlnk"/>
            <w:rFonts w:ascii="Garamond" w:hAnsi="Garamond"/>
            <w:sz w:val="24"/>
            <w:szCs w:val="24"/>
            <w:lang w:val="en-US"/>
          </w:rPr>
          <w:t>Jonas.nordin@arkeologi.uu.se</w:t>
        </w:r>
      </w:hyperlink>
    </w:p>
    <w:p w:rsidR="00ED79A7" w:rsidRPr="00DE1949" w:rsidRDefault="00DE1949" w:rsidP="002B6404">
      <w:pPr>
        <w:spacing w:after="0" w:line="360" w:lineRule="auto"/>
        <w:rPr>
          <w:rFonts w:ascii="Garamond" w:hAnsi="Garamond"/>
          <w:i/>
          <w:sz w:val="24"/>
          <w:szCs w:val="24"/>
          <w:lang w:val="en-US"/>
        </w:rPr>
      </w:pPr>
      <w:r w:rsidRPr="00DE1949">
        <w:rPr>
          <w:rFonts w:ascii="Garamond" w:hAnsi="Garamond"/>
          <w:i/>
          <w:sz w:val="24"/>
          <w:szCs w:val="24"/>
          <w:lang w:val="en-US"/>
        </w:rPr>
        <w:t>Introduction</w:t>
      </w:r>
    </w:p>
    <w:p w:rsidR="00DE1949" w:rsidRDefault="00ED79A7" w:rsidP="00DE1949">
      <w:pPr>
        <w:spacing w:after="0" w:line="360" w:lineRule="auto"/>
        <w:rPr>
          <w:rFonts w:ascii="Garamond" w:hAnsi="Garamond"/>
          <w:sz w:val="24"/>
          <w:szCs w:val="24"/>
          <w:lang w:val="en-US"/>
        </w:rPr>
      </w:pPr>
      <w:r w:rsidRPr="0052783C">
        <w:rPr>
          <w:rFonts w:ascii="Garamond" w:hAnsi="Garamond"/>
          <w:sz w:val="24"/>
          <w:szCs w:val="24"/>
          <w:lang w:val="en-US"/>
        </w:rPr>
        <w:t>On the 19th of</w:t>
      </w:r>
      <w:r w:rsidR="001F42EB">
        <w:rPr>
          <w:rFonts w:ascii="Garamond" w:hAnsi="Garamond"/>
          <w:sz w:val="24"/>
          <w:szCs w:val="24"/>
          <w:lang w:val="en-US"/>
        </w:rPr>
        <w:t xml:space="preserve"> December </w:t>
      </w:r>
      <w:r w:rsidRPr="0052783C">
        <w:rPr>
          <w:rFonts w:ascii="Garamond" w:hAnsi="Garamond"/>
          <w:sz w:val="24"/>
          <w:szCs w:val="24"/>
          <w:lang w:val="en-US"/>
        </w:rPr>
        <w:t xml:space="preserve">1660 the Danish admiral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Style w:val="Slutkommentarsreferens"/>
          <w:rFonts w:ascii="Garamond" w:hAnsi="Garamond"/>
          <w:sz w:val="24"/>
          <w:szCs w:val="24"/>
        </w:rPr>
        <w:endnoteReference w:id="1"/>
      </w:r>
      <w:r w:rsidRPr="0052783C">
        <w:rPr>
          <w:rFonts w:ascii="Garamond" w:hAnsi="Garamond"/>
          <w:sz w:val="24"/>
          <w:szCs w:val="24"/>
          <w:lang w:val="en-US"/>
        </w:rPr>
        <w:t xml:space="preserve"> passed away. Three months before he had been released from Swedish custody and probably died of injuries or sickness obtained during imprisonment. He was 66 years of age when he died and thus could look back on a long and rather eventful life.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was one of those adventurous entrepreneurial people of the early modern era who essentially encapsulated the spirit of the period. He was, so to speak, living the zeitgeist of the baroque – he lived a life of colonialism, globalization, mercantilism and nascent capitalism as well as modernity.</w:t>
      </w:r>
      <w:r w:rsidRPr="0052783C">
        <w:rPr>
          <w:rStyle w:val="Slutkommentarsreferens"/>
          <w:rFonts w:ascii="Garamond" w:hAnsi="Garamond"/>
          <w:sz w:val="24"/>
          <w:szCs w:val="24"/>
        </w:rPr>
        <w:endnoteReference w:id="2"/>
      </w:r>
    </w:p>
    <w:p w:rsidR="00ED79A7" w:rsidRPr="00DE1949" w:rsidRDefault="00ED79A7" w:rsidP="00DE1949">
      <w:pPr>
        <w:spacing w:after="0" w:line="360" w:lineRule="auto"/>
        <w:ind w:firstLine="720"/>
        <w:rPr>
          <w:rFonts w:ascii="Garamond" w:hAnsi="Garamond"/>
          <w:sz w:val="24"/>
          <w:szCs w:val="24"/>
          <w:lang w:val="en-US"/>
        </w:rPr>
      </w:pPr>
      <w:r w:rsidRPr="00DE1949">
        <w:rPr>
          <w:rFonts w:ascii="Garamond" w:hAnsi="Garamond"/>
          <w:sz w:val="24"/>
          <w:szCs w:val="24"/>
          <w:lang w:val="en-US"/>
        </w:rPr>
        <w:t xml:space="preserve">Through his life </w:t>
      </w:r>
      <w:proofErr w:type="spellStart"/>
      <w:r w:rsidRPr="00DE1949">
        <w:rPr>
          <w:rFonts w:ascii="Garamond" w:hAnsi="Garamond"/>
          <w:sz w:val="24"/>
          <w:szCs w:val="24"/>
          <w:lang w:val="en-US"/>
        </w:rPr>
        <w:t>Ove</w:t>
      </w:r>
      <w:proofErr w:type="spellEnd"/>
      <w:r w:rsidRPr="00DE1949">
        <w:rPr>
          <w:rFonts w:ascii="Garamond" w:hAnsi="Garamond"/>
          <w:sz w:val="24"/>
          <w:szCs w:val="24"/>
          <w:lang w:val="en-US"/>
        </w:rPr>
        <w:t xml:space="preserve"> </w:t>
      </w:r>
      <w:proofErr w:type="spellStart"/>
      <w:r w:rsidRPr="00DE1949">
        <w:rPr>
          <w:rFonts w:ascii="Garamond" w:hAnsi="Garamond"/>
          <w:sz w:val="24"/>
          <w:szCs w:val="24"/>
          <w:lang w:val="en-US"/>
        </w:rPr>
        <w:t>Gjedde</w:t>
      </w:r>
      <w:proofErr w:type="spellEnd"/>
      <w:r w:rsidRPr="00DE1949">
        <w:rPr>
          <w:rFonts w:ascii="Garamond" w:hAnsi="Garamond"/>
          <w:sz w:val="24"/>
          <w:szCs w:val="24"/>
          <w:lang w:val="en-US"/>
        </w:rPr>
        <w:t xml:space="preserve"> engaged in the rich trade with Asia, invested in his palace and founded a substantial garden, worked in the production of precious metals and participated in naval warfare. </w:t>
      </w:r>
      <w:proofErr w:type="spellStart"/>
      <w:r w:rsidRPr="00D94A1C">
        <w:rPr>
          <w:rFonts w:ascii="Garamond" w:hAnsi="Garamond"/>
          <w:sz w:val="24"/>
          <w:szCs w:val="24"/>
          <w:lang w:val="en-US"/>
        </w:rPr>
        <w:t>Gjedde</w:t>
      </w:r>
      <w:proofErr w:type="spellEnd"/>
      <w:r w:rsidRPr="00D94A1C">
        <w:rPr>
          <w:rFonts w:ascii="Garamond" w:hAnsi="Garamond"/>
          <w:sz w:val="24"/>
          <w:szCs w:val="24"/>
          <w:lang w:val="en-US"/>
        </w:rPr>
        <w:t xml:space="preserve"> outlined and commanded a colony and he was a major part in the foundation of the mining society of Kongsberg with production, town planning and workforce migration – the Norwegian silver mines had to rely heavily on indentured mining workers from Germany. </w:t>
      </w:r>
      <w:proofErr w:type="spellStart"/>
      <w:r w:rsidRPr="00D94A1C">
        <w:rPr>
          <w:rFonts w:ascii="Garamond" w:hAnsi="Garamond"/>
          <w:sz w:val="24"/>
          <w:szCs w:val="24"/>
          <w:lang w:val="en-US"/>
        </w:rPr>
        <w:t>Gjedde</w:t>
      </w:r>
      <w:proofErr w:type="spellEnd"/>
      <w:r w:rsidRPr="00D94A1C">
        <w:rPr>
          <w:rFonts w:ascii="Garamond" w:hAnsi="Garamond"/>
          <w:sz w:val="24"/>
          <w:szCs w:val="24"/>
          <w:lang w:val="en-US"/>
        </w:rPr>
        <w:t xml:space="preserve"> was part of the height, might and fall of Christian IV’s Danish Empire</w:t>
      </w:r>
      <w:r w:rsidRPr="00DE1949">
        <w:rPr>
          <w:rStyle w:val="Slutkommentarsreferens"/>
          <w:rFonts w:ascii="Garamond" w:hAnsi="Garamond"/>
          <w:sz w:val="24"/>
          <w:szCs w:val="24"/>
        </w:rPr>
        <w:endnoteReference w:id="3"/>
      </w:r>
      <w:r w:rsidRPr="00D94A1C">
        <w:rPr>
          <w:rFonts w:ascii="Garamond" w:hAnsi="Garamond"/>
          <w:sz w:val="24"/>
          <w:szCs w:val="24"/>
          <w:lang w:val="en-US"/>
        </w:rPr>
        <w:t xml:space="preserve"> and he witnessed the birth of the global world, of north European colonialism and of mercantilism.</w:t>
      </w:r>
      <w:r w:rsidRPr="00DE1949">
        <w:rPr>
          <w:rStyle w:val="Slutkommentarsreferens"/>
          <w:rFonts w:ascii="Garamond" w:hAnsi="Garamond"/>
          <w:sz w:val="24"/>
          <w:szCs w:val="24"/>
        </w:rPr>
        <w:endnoteReference w:id="4"/>
      </w:r>
      <w:r w:rsidRPr="00D94A1C">
        <w:rPr>
          <w:rFonts w:ascii="Garamond" w:hAnsi="Garamond"/>
          <w:sz w:val="24"/>
          <w:szCs w:val="24"/>
          <w:lang w:val="en-US"/>
        </w:rPr>
        <w:t xml:space="preserve"> </w:t>
      </w:r>
      <w:proofErr w:type="spellStart"/>
      <w:r w:rsidRPr="00D94A1C">
        <w:rPr>
          <w:rFonts w:ascii="Garamond" w:hAnsi="Garamond"/>
          <w:sz w:val="24"/>
          <w:szCs w:val="24"/>
          <w:lang w:val="en-US"/>
        </w:rPr>
        <w:t>Gjedde</w:t>
      </w:r>
      <w:proofErr w:type="spellEnd"/>
      <w:r w:rsidRPr="00D94A1C">
        <w:rPr>
          <w:rFonts w:ascii="Garamond" w:hAnsi="Garamond"/>
          <w:sz w:val="24"/>
          <w:szCs w:val="24"/>
          <w:lang w:val="en-US"/>
        </w:rPr>
        <w:t xml:space="preserve"> and his family were even immortalized with sarcastic criticism, as one of the leading aristocrats in Denmark/Norway of the reign of Christian IV by the famous playwright and </w:t>
      </w:r>
      <w:proofErr w:type="gramStart"/>
      <w:r w:rsidRPr="00D94A1C">
        <w:rPr>
          <w:rFonts w:ascii="Garamond" w:hAnsi="Garamond"/>
          <w:sz w:val="24"/>
          <w:szCs w:val="24"/>
          <w:lang w:val="en-US"/>
        </w:rPr>
        <w:t>historian</w:t>
      </w:r>
      <w:proofErr w:type="gramEnd"/>
      <w:r w:rsidRPr="00D94A1C">
        <w:rPr>
          <w:rFonts w:ascii="Garamond" w:hAnsi="Garamond"/>
          <w:sz w:val="24"/>
          <w:szCs w:val="24"/>
          <w:lang w:val="en-US"/>
        </w:rPr>
        <w:t xml:space="preserve"> Ludvig </w:t>
      </w:r>
      <w:proofErr w:type="spellStart"/>
      <w:r w:rsidRPr="00D94A1C">
        <w:rPr>
          <w:rFonts w:ascii="Garamond" w:hAnsi="Garamond"/>
          <w:sz w:val="24"/>
          <w:szCs w:val="24"/>
          <w:lang w:val="en-US"/>
        </w:rPr>
        <w:t>Holberg</w:t>
      </w:r>
      <w:proofErr w:type="spellEnd"/>
      <w:r w:rsidRPr="00D94A1C">
        <w:rPr>
          <w:rFonts w:ascii="Garamond" w:hAnsi="Garamond"/>
          <w:sz w:val="24"/>
          <w:szCs w:val="24"/>
          <w:lang w:val="en-US"/>
        </w:rPr>
        <w:t xml:space="preserve"> (1684–1754).</w:t>
      </w:r>
      <w:r w:rsidRPr="00DE1949">
        <w:rPr>
          <w:rStyle w:val="Slutkommentarsreferens"/>
          <w:rFonts w:ascii="Garamond" w:hAnsi="Garamond"/>
          <w:sz w:val="24"/>
          <w:szCs w:val="24"/>
        </w:rPr>
        <w:endnoteReference w:id="5"/>
      </w:r>
    </w:p>
    <w:p w:rsidR="00ED79A7" w:rsidRPr="0052783C" w:rsidRDefault="00ED79A7" w:rsidP="00ED79A7">
      <w:pPr>
        <w:spacing w:line="360" w:lineRule="auto"/>
        <w:ind w:firstLine="720"/>
        <w:rPr>
          <w:rFonts w:ascii="Garamond" w:hAnsi="Garamond"/>
          <w:sz w:val="24"/>
          <w:szCs w:val="24"/>
          <w:lang w:val="en-US"/>
        </w:rPr>
      </w:pPr>
      <w:r w:rsidRPr="0052783C">
        <w:rPr>
          <w:rFonts w:ascii="Garamond" w:hAnsi="Garamond"/>
          <w:sz w:val="24"/>
          <w:szCs w:val="24"/>
          <w:lang w:val="en-US"/>
        </w:rPr>
        <w:t xml:space="preserve">All these aspects of aristocratic life – the long-distance trade, the production of precious metals, the moving of workers in the context of global migration of people, the elaborate investment in estates, </w:t>
      </w:r>
      <w:proofErr w:type="gramStart"/>
      <w:r w:rsidRPr="0052783C">
        <w:rPr>
          <w:rFonts w:ascii="Garamond" w:hAnsi="Garamond"/>
          <w:sz w:val="24"/>
          <w:szCs w:val="24"/>
          <w:lang w:val="en-US"/>
        </w:rPr>
        <w:t>the</w:t>
      </w:r>
      <w:proofErr w:type="gramEnd"/>
      <w:r w:rsidRPr="0052783C">
        <w:rPr>
          <w:rFonts w:ascii="Garamond" w:hAnsi="Garamond"/>
          <w:sz w:val="24"/>
          <w:szCs w:val="24"/>
          <w:lang w:val="en-US"/>
        </w:rPr>
        <w:t xml:space="preserve"> conspicuous consumption – were characteristic of the mercantilist world view. The mercantilist life of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was a physical life leaving material traces.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was an agent among several others moving in and out of global and regional networks coveting things – </w:t>
      </w:r>
      <w:proofErr w:type="spellStart"/>
      <w:r w:rsidRPr="0052783C">
        <w:rPr>
          <w:rFonts w:ascii="Garamond" w:hAnsi="Garamond"/>
          <w:sz w:val="24"/>
          <w:szCs w:val="24"/>
          <w:lang w:val="en-US"/>
        </w:rPr>
        <w:t>actants</w:t>
      </w:r>
      <w:proofErr w:type="spellEnd"/>
      <w:r w:rsidRPr="0052783C">
        <w:rPr>
          <w:rFonts w:ascii="Garamond" w:hAnsi="Garamond"/>
          <w:sz w:val="24"/>
          <w:szCs w:val="24"/>
          <w:lang w:val="en-US"/>
        </w:rPr>
        <w:t xml:space="preserve"> – that made them move and moved themselves. This entangled materiality – the buildings, the shards of the drinking vessels, the ships and the landscape of production and dominance – is the empirical base of this article, studied in order to obtain a more overall perspective on the birth of a global world from a Scandinavian vantage point. </w:t>
      </w:r>
    </w:p>
    <w:p w:rsidR="00DE1949" w:rsidRDefault="00DE1949" w:rsidP="003F2E90">
      <w:pPr>
        <w:spacing w:after="0" w:line="360" w:lineRule="auto"/>
        <w:rPr>
          <w:rFonts w:ascii="Garamond" w:hAnsi="Garamond"/>
          <w:i/>
          <w:sz w:val="24"/>
          <w:szCs w:val="24"/>
          <w:lang w:val="en-US"/>
        </w:rPr>
      </w:pPr>
      <w:r w:rsidRPr="00DE1949">
        <w:rPr>
          <w:rFonts w:ascii="Garamond" w:hAnsi="Garamond"/>
          <w:i/>
          <w:sz w:val="24"/>
          <w:szCs w:val="24"/>
          <w:lang w:val="en-US"/>
        </w:rPr>
        <w:t>Material aspects of networks of mercantilism</w:t>
      </w:r>
    </w:p>
    <w:p w:rsidR="003F2E90" w:rsidRDefault="00ED79A7" w:rsidP="003F2E90">
      <w:pPr>
        <w:spacing w:after="0" w:line="360" w:lineRule="auto"/>
        <w:rPr>
          <w:rFonts w:ascii="Garamond" w:hAnsi="Garamond"/>
          <w:i/>
          <w:sz w:val="24"/>
          <w:szCs w:val="24"/>
          <w:lang w:val="en-US"/>
        </w:rPr>
      </w:pPr>
      <w:r w:rsidRPr="0052783C">
        <w:rPr>
          <w:rFonts w:ascii="Garamond" w:hAnsi="Garamond"/>
          <w:sz w:val="24"/>
          <w:szCs w:val="24"/>
          <w:lang w:val="en-US"/>
        </w:rPr>
        <w:lastRenderedPageBreak/>
        <w:t>Although mercantilism was an ideology, a dogma and a theory, it was also praxis, things that people did and places where people did them, resulting in objects: material culture and production of space.</w:t>
      </w:r>
      <w:r w:rsidRPr="0052783C">
        <w:rPr>
          <w:rStyle w:val="Slutkommentarsreferens"/>
          <w:rFonts w:ascii="Garamond" w:hAnsi="Garamond"/>
          <w:sz w:val="24"/>
          <w:szCs w:val="24"/>
        </w:rPr>
        <w:endnoteReference w:id="6"/>
      </w:r>
      <w:r w:rsidRPr="0052783C">
        <w:rPr>
          <w:rFonts w:ascii="Garamond" w:hAnsi="Garamond"/>
          <w:sz w:val="24"/>
          <w:szCs w:val="24"/>
          <w:lang w:val="en-US"/>
        </w:rPr>
        <w:t xml:space="preserve"> It was also a network or cluster of networks where agents tried to control material things such as ships and buildings, and coveted goods such as spices, silk and porcelain. Things also controlled people. The coveted things had people acting, such as pursuing trade, collecting, colonizing other territories and constructing theories of economics. The material things can be studies as </w:t>
      </w:r>
      <w:proofErr w:type="spellStart"/>
      <w:r w:rsidRPr="0052783C">
        <w:rPr>
          <w:rFonts w:ascii="Garamond" w:hAnsi="Garamond"/>
          <w:sz w:val="24"/>
          <w:szCs w:val="24"/>
          <w:lang w:val="en-US"/>
        </w:rPr>
        <w:t>actants</w:t>
      </w:r>
      <w:proofErr w:type="spellEnd"/>
      <w:r w:rsidRPr="0052783C">
        <w:rPr>
          <w:rFonts w:ascii="Garamond" w:hAnsi="Garamond"/>
          <w:sz w:val="24"/>
          <w:szCs w:val="24"/>
          <w:lang w:val="en-US"/>
        </w:rPr>
        <w:t>, subject-like agents.</w:t>
      </w:r>
      <w:r w:rsidRPr="0052783C">
        <w:rPr>
          <w:rStyle w:val="Slutkommentarsreferens"/>
          <w:rFonts w:ascii="Garamond" w:hAnsi="Garamond"/>
          <w:sz w:val="24"/>
          <w:szCs w:val="24"/>
        </w:rPr>
        <w:endnoteReference w:id="7"/>
      </w:r>
      <w:r w:rsidRPr="0052783C">
        <w:rPr>
          <w:rFonts w:ascii="Garamond" w:hAnsi="Garamond"/>
          <w:sz w:val="24"/>
          <w:szCs w:val="24"/>
          <w:lang w:val="en-US"/>
        </w:rPr>
        <w:t xml:space="preserve"> The ships that took the Danish expedition on their first trip to India, the palaces and buildings at home or abroad, the silver mines and the factories, the porcelain cups and rolls of silk, governed people’s actions and thoughts in early modern society. These </w:t>
      </w:r>
      <w:proofErr w:type="spellStart"/>
      <w:r w:rsidRPr="0052783C">
        <w:rPr>
          <w:rFonts w:ascii="Garamond" w:hAnsi="Garamond"/>
          <w:sz w:val="24"/>
          <w:szCs w:val="24"/>
          <w:lang w:val="en-US"/>
        </w:rPr>
        <w:t>actants</w:t>
      </w:r>
      <w:proofErr w:type="spellEnd"/>
      <w:r w:rsidRPr="0052783C">
        <w:rPr>
          <w:rFonts w:ascii="Garamond" w:hAnsi="Garamond"/>
          <w:sz w:val="24"/>
          <w:szCs w:val="24"/>
          <w:lang w:val="en-US"/>
        </w:rPr>
        <w:t xml:space="preserve"> (ships, forts, mines, ceramics and so on) acted together with people in different sets of spontaneous networks, such as the social networks around the foundation of the </w:t>
      </w:r>
      <w:proofErr w:type="spellStart"/>
      <w:r w:rsidRPr="0052783C">
        <w:rPr>
          <w:rFonts w:ascii="Garamond" w:hAnsi="Garamond"/>
          <w:sz w:val="24"/>
          <w:szCs w:val="24"/>
          <w:lang w:val="en-US"/>
        </w:rPr>
        <w:t>Dansborg</w:t>
      </w:r>
      <w:proofErr w:type="spellEnd"/>
      <w:r w:rsidRPr="0052783C">
        <w:rPr>
          <w:rFonts w:ascii="Garamond" w:hAnsi="Garamond"/>
          <w:sz w:val="24"/>
          <w:szCs w:val="24"/>
          <w:lang w:val="en-US"/>
        </w:rPr>
        <w:t xml:space="preserve"> fort or the Kongsberg silver mines. To varying extents all these networks were related to each other through agents such as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or </w:t>
      </w:r>
      <w:proofErr w:type="spellStart"/>
      <w:r w:rsidRPr="0052783C">
        <w:rPr>
          <w:rFonts w:ascii="Garamond" w:hAnsi="Garamond"/>
          <w:sz w:val="24"/>
          <w:szCs w:val="24"/>
          <w:lang w:val="en-US"/>
        </w:rPr>
        <w:t>actants</w:t>
      </w:r>
      <w:proofErr w:type="spellEnd"/>
      <w:r w:rsidRPr="0052783C">
        <w:rPr>
          <w:rFonts w:ascii="Garamond" w:hAnsi="Garamond"/>
          <w:sz w:val="24"/>
          <w:szCs w:val="24"/>
          <w:lang w:val="en-US"/>
        </w:rPr>
        <w:t xml:space="preserve"> such as the silver. </w:t>
      </w:r>
    </w:p>
    <w:p w:rsidR="003F2E90" w:rsidRDefault="00ED79A7" w:rsidP="003F2E90">
      <w:pPr>
        <w:spacing w:after="0" w:line="360" w:lineRule="auto"/>
        <w:ind w:firstLine="720"/>
        <w:rPr>
          <w:rFonts w:ascii="Garamond" w:hAnsi="Garamond"/>
          <w:i/>
          <w:sz w:val="24"/>
          <w:szCs w:val="24"/>
          <w:lang w:val="en-US"/>
        </w:rPr>
      </w:pPr>
      <w:r w:rsidRPr="0052783C">
        <w:rPr>
          <w:rFonts w:ascii="Garamond" w:hAnsi="Garamond"/>
          <w:sz w:val="24"/>
          <w:szCs w:val="24"/>
          <w:lang w:val="en-US"/>
        </w:rPr>
        <w:t xml:space="preserve">The purpose </w:t>
      </w:r>
      <w:r w:rsidR="00663467">
        <w:rPr>
          <w:rFonts w:ascii="Garamond" w:hAnsi="Garamond"/>
          <w:sz w:val="24"/>
          <w:szCs w:val="24"/>
          <w:lang w:val="en-US"/>
        </w:rPr>
        <w:t xml:space="preserve">with this paper </w:t>
      </w:r>
      <w:r w:rsidRPr="0052783C">
        <w:rPr>
          <w:rFonts w:ascii="Garamond" w:hAnsi="Garamond"/>
          <w:sz w:val="24"/>
          <w:szCs w:val="24"/>
          <w:lang w:val="en-US"/>
        </w:rPr>
        <w:t xml:space="preserve">is to uncover the relational ties between material culture, people and localities of the early modern world – how places and things in present-day Denmark, Norway and Sweden were related to the Coromandel Coast, present-day south-east India. The study seeks to answer three questions. Firstly: In what way did an abstract ideology such as mercantilism and large-scale change such as globalization influence a person’s life and the localities related to that person in the course of nascent modernity. Secondly: What kind of networks and localities did this change create? Thirdly: What role did material culture and space have in these processes? These questions will be answered by emphasizing both individual agency and structural changes through the life course of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1594–1660, and by studying the various localities inhabited, constructed and owned by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as nodes in the networks where he acted. The networks included people such as </w:t>
      </w:r>
      <w:proofErr w:type="spellStart"/>
      <w:r w:rsidRPr="0052783C">
        <w:rPr>
          <w:rFonts w:ascii="Garamond" w:hAnsi="Garamond"/>
          <w:sz w:val="24"/>
          <w:szCs w:val="24"/>
          <w:lang w:val="en-US"/>
        </w:rPr>
        <w:t>Gjedde’s</w:t>
      </w:r>
      <w:proofErr w:type="spellEnd"/>
      <w:r w:rsidRPr="0052783C">
        <w:rPr>
          <w:rFonts w:ascii="Garamond" w:hAnsi="Garamond"/>
          <w:sz w:val="24"/>
          <w:szCs w:val="24"/>
          <w:lang w:val="en-US"/>
        </w:rPr>
        <w:t xml:space="preserve"> crew on his voyage to India, his second in command, Roland </w:t>
      </w:r>
      <w:proofErr w:type="spellStart"/>
      <w:r w:rsidRPr="0052783C">
        <w:rPr>
          <w:rFonts w:ascii="Garamond" w:hAnsi="Garamond"/>
          <w:sz w:val="24"/>
          <w:szCs w:val="24"/>
          <w:lang w:val="en-US"/>
        </w:rPr>
        <w:t>Crappé</w:t>
      </w:r>
      <w:proofErr w:type="spellEnd"/>
      <w:r w:rsidRPr="0052783C">
        <w:rPr>
          <w:rFonts w:ascii="Garamond" w:hAnsi="Garamond"/>
          <w:sz w:val="24"/>
          <w:szCs w:val="24"/>
          <w:lang w:val="en-US"/>
        </w:rPr>
        <w:t xml:space="preserve">, construction workers in Tarangambadi (Danish: </w:t>
      </w:r>
      <w:proofErr w:type="spellStart"/>
      <w:r w:rsidRPr="0052783C">
        <w:rPr>
          <w:rFonts w:ascii="Garamond" w:hAnsi="Garamond"/>
          <w:sz w:val="24"/>
          <w:szCs w:val="24"/>
          <w:lang w:val="en-US"/>
        </w:rPr>
        <w:t>Tranquebar</w:t>
      </w:r>
      <w:proofErr w:type="spellEnd"/>
      <w:r w:rsidRPr="0052783C">
        <w:rPr>
          <w:rFonts w:ascii="Garamond" w:hAnsi="Garamond"/>
          <w:sz w:val="24"/>
          <w:szCs w:val="24"/>
          <w:lang w:val="en-US"/>
        </w:rPr>
        <w:t xml:space="preserve">), his wife </w:t>
      </w:r>
      <w:proofErr w:type="spellStart"/>
      <w:r w:rsidRPr="0052783C">
        <w:rPr>
          <w:rFonts w:ascii="Garamond" w:hAnsi="Garamond"/>
          <w:sz w:val="24"/>
          <w:szCs w:val="24"/>
          <w:lang w:val="en-US"/>
        </w:rPr>
        <w:t>Dorte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Urne</w:t>
      </w:r>
      <w:proofErr w:type="spellEnd"/>
      <w:r w:rsidRPr="0052783C">
        <w:rPr>
          <w:rFonts w:ascii="Garamond" w:hAnsi="Garamond"/>
          <w:sz w:val="24"/>
          <w:szCs w:val="24"/>
          <w:lang w:val="en-US"/>
        </w:rPr>
        <w:t xml:space="preserve">, his brother-in-law </w:t>
      </w:r>
      <w:proofErr w:type="spellStart"/>
      <w:r w:rsidRPr="0052783C">
        <w:rPr>
          <w:rFonts w:ascii="Garamond" w:hAnsi="Garamond"/>
          <w:sz w:val="24"/>
          <w:szCs w:val="24"/>
          <w:lang w:val="en-US"/>
        </w:rPr>
        <w:t>Preben</w:t>
      </w:r>
      <w:proofErr w:type="spellEnd"/>
      <w:r w:rsidRPr="0052783C">
        <w:rPr>
          <w:rFonts w:ascii="Garamond" w:hAnsi="Garamond"/>
          <w:sz w:val="24"/>
          <w:szCs w:val="24"/>
          <w:lang w:val="en-US"/>
        </w:rPr>
        <w:t xml:space="preserve"> von </w:t>
      </w:r>
      <w:proofErr w:type="spellStart"/>
      <w:r w:rsidRPr="0052783C">
        <w:rPr>
          <w:rFonts w:ascii="Garamond" w:hAnsi="Garamond"/>
          <w:sz w:val="24"/>
          <w:szCs w:val="24"/>
          <w:lang w:val="en-US"/>
        </w:rPr>
        <w:t>Ahnen</w:t>
      </w:r>
      <w:proofErr w:type="spellEnd"/>
      <w:r w:rsidRPr="0052783C">
        <w:rPr>
          <w:rFonts w:ascii="Garamond" w:hAnsi="Garamond"/>
          <w:sz w:val="24"/>
          <w:szCs w:val="24"/>
          <w:lang w:val="en-US"/>
        </w:rPr>
        <w:t xml:space="preserve">, the King, Christian IV, migrant indentured workers in Kongsberg, and many others. With an allusion to Bruno </w:t>
      </w:r>
      <w:proofErr w:type="spellStart"/>
      <w:r w:rsidRPr="0052783C">
        <w:rPr>
          <w:rFonts w:ascii="Garamond" w:hAnsi="Garamond"/>
          <w:sz w:val="24"/>
          <w:szCs w:val="24"/>
          <w:lang w:val="en-US"/>
        </w:rPr>
        <w:t>Latour’s</w:t>
      </w:r>
      <w:proofErr w:type="spellEnd"/>
      <w:r w:rsidRPr="0052783C">
        <w:rPr>
          <w:rFonts w:ascii="Garamond" w:hAnsi="Garamond"/>
          <w:sz w:val="24"/>
          <w:szCs w:val="24"/>
          <w:lang w:val="en-US"/>
        </w:rPr>
        <w:t xml:space="preserve"> discussion about the railroad, these networks can be regarded as neither local nor global but both at the same time, connecting localities of the global world and small things such as a water dam, a ceramic shard or a garden to the global networks of trade, ideas and cultural influence.</w:t>
      </w:r>
      <w:r w:rsidRPr="0052783C">
        <w:rPr>
          <w:rStyle w:val="Slutkommentarsreferens"/>
          <w:rFonts w:ascii="Garamond" w:hAnsi="Garamond"/>
          <w:sz w:val="24"/>
          <w:szCs w:val="24"/>
        </w:rPr>
        <w:endnoteReference w:id="8"/>
      </w:r>
      <w:r w:rsidRPr="0052783C">
        <w:rPr>
          <w:rFonts w:ascii="Garamond" w:hAnsi="Garamond"/>
          <w:sz w:val="24"/>
          <w:szCs w:val="24"/>
          <w:lang w:val="en-US"/>
        </w:rPr>
        <w:t xml:space="preserve"> </w:t>
      </w:r>
    </w:p>
    <w:p w:rsidR="00ED79A7" w:rsidRPr="003F2E90" w:rsidRDefault="00ED79A7" w:rsidP="003F2E90">
      <w:pPr>
        <w:spacing w:line="360" w:lineRule="auto"/>
        <w:ind w:firstLine="720"/>
        <w:rPr>
          <w:rFonts w:ascii="Garamond" w:hAnsi="Garamond"/>
          <w:i/>
          <w:sz w:val="24"/>
          <w:szCs w:val="24"/>
          <w:lang w:val="en-US"/>
        </w:rPr>
      </w:pPr>
      <w:r w:rsidRPr="0052783C">
        <w:rPr>
          <w:rFonts w:ascii="Garamond" w:hAnsi="Garamond"/>
          <w:sz w:val="24"/>
          <w:szCs w:val="24"/>
          <w:lang w:val="en-US"/>
        </w:rPr>
        <w:t xml:space="preserve">Lars Magnusson has argued that the most significant component of early mercantilist thinking was the idea of the existence of </w:t>
      </w:r>
      <w:r w:rsidRPr="0052783C">
        <w:rPr>
          <w:rFonts w:ascii="Garamond" w:hAnsi="Garamond"/>
          <w:i/>
          <w:sz w:val="24"/>
          <w:szCs w:val="24"/>
          <w:lang w:val="en-US"/>
        </w:rPr>
        <w:t>a system</w:t>
      </w:r>
      <w:r w:rsidRPr="0052783C">
        <w:rPr>
          <w:rFonts w:ascii="Garamond" w:hAnsi="Garamond"/>
          <w:sz w:val="24"/>
          <w:szCs w:val="24"/>
          <w:lang w:val="en-US"/>
        </w:rPr>
        <w:t>, such as the marketplace, made up of interacting mechanical forces.</w:t>
      </w:r>
      <w:r w:rsidRPr="0052783C">
        <w:rPr>
          <w:rStyle w:val="Slutkommentarsreferens"/>
          <w:rFonts w:ascii="Garamond" w:hAnsi="Garamond"/>
          <w:sz w:val="24"/>
          <w:szCs w:val="24"/>
        </w:rPr>
        <w:endnoteReference w:id="9"/>
      </w:r>
      <w:r w:rsidRPr="0052783C">
        <w:rPr>
          <w:rFonts w:ascii="Garamond" w:hAnsi="Garamond"/>
          <w:sz w:val="24"/>
          <w:szCs w:val="24"/>
          <w:lang w:val="en-US"/>
        </w:rPr>
        <w:t xml:space="preserve"> This idea, spreading around Europe in the seventeenth century, had its </w:t>
      </w:r>
      <w:r w:rsidRPr="0052783C">
        <w:rPr>
          <w:rFonts w:ascii="Garamond" w:hAnsi="Garamond"/>
          <w:sz w:val="24"/>
          <w:szCs w:val="24"/>
          <w:lang w:val="en-US"/>
        </w:rPr>
        <w:lastRenderedPageBreak/>
        <w:t xml:space="preserve">empirical foundation in the recognition of the importance of the trade balance, as emphasized by the mercantilist thinkers from Thomas </w:t>
      </w:r>
      <w:proofErr w:type="spellStart"/>
      <w:r w:rsidRPr="0052783C">
        <w:rPr>
          <w:rFonts w:ascii="Garamond" w:hAnsi="Garamond"/>
          <w:sz w:val="24"/>
          <w:szCs w:val="24"/>
          <w:lang w:val="en-US"/>
        </w:rPr>
        <w:t>Mun</w:t>
      </w:r>
      <w:proofErr w:type="spellEnd"/>
      <w:r w:rsidRPr="0052783C">
        <w:rPr>
          <w:rFonts w:ascii="Garamond" w:hAnsi="Garamond"/>
          <w:sz w:val="24"/>
          <w:szCs w:val="24"/>
          <w:lang w:val="en-US"/>
        </w:rPr>
        <w:t xml:space="preserve"> and Gerrard </w:t>
      </w:r>
      <w:proofErr w:type="spellStart"/>
      <w:r w:rsidRPr="0052783C">
        <w:rPr>
          <w:rFonts w:ascii="Garamond" w:hAnsi="Garamond"/>
          <w:sz w:val="24"/>
          <w:szCs w:val="24"/>
          <w:lang w:val="en-US"/>
        </w:rPr>
        <w:t>Laynes</w:t>
      </w:r>
      <w:proofErr w:type="spellEnd"/>
      <w:r w:rsidRPr="0052783C">
        <w:rPr>
          <w:rFonts w:ascii="Garamond" w:hAnsi="Garamond"/>
          <w:sz w:val="24"/>
          <w:szCs w:val="24"/>
          <w:lang w:val="en-US"/>
        </w:rPr>
        <w:t xml:space="preserve"> in England in the 1620s to Johan </w:t>
      </w:r>
      <w:proofErr w:type="spellStart"/>
      <w:r w:rsidRPr="0052783C">
        <w:rPr>
          <w:rFonts w:ascii="Garamond" w:hAnsi="Garamond"/>
          <w:sz w:val="24"/>
          <w:szCs w:val="24"/>
          <w:lang w:val="en-US"/>
        </w:rPr>
        <w:t>Risingh</w:t>
      </w:r>
      <w:proofErr w:type="spellEnd"/>
      <w:r w:rsidRPr="0052783C">
        <w:rPr>
          <w:rFonts w:ascii="Garamond" w:hAnsi="Garamond"/>
          <w:sz w:val="24"/>
          <w:szCs w:val="24"/>
          <w:lang w:val="en-US"/>
        </w:rPr>
        <w:t xml:space="preserve"> in Sweden in the 1650s and 1660s, and in the early eighteenth century Otto </w:t>
      </w:r>
      <w:proofErr w:type="spellStart"/>
      <w:r w:rsidRPr="0052783C">
        <w:rPr>
          <w:rFonts w:ascii="Garamond" w:hAnsi="Garamond"/>
          <w:sz w:val="24"/>
          <w:szCs w:val="24"/>
          <w:lang w:val="en-US"/>
        </w:rPr>
        <w:t>Thott</w:t>
      </w:r>
      <w:proofErr w:type="spellEnd"/>
      <w:r w:rsidRPr="0052783C">
        <w:rPr>
          <w:rFonts w:ascii="Garamond" w:hAnsi="Garamond"/>
          <w:sz w:val="24"/>
          <w:szCs w:val="24"/>
          <w:lang w:val="en-US"/>
        </w:rPr>
        <w:t xml:space="preserve"> in Denmark. The idea of the system probably came from the globalization itself and the spread of European colonialism all over the world. Colonialists, consumers and </w:t>
      </w:r>
      <w:proofErr w:type="spellStart"/>
      <w:r w:rsidRPr="0052783C">
        <w:rPr>
          <w:rFonts w:ascii="Garamond" w:hAnsi="Garamond"/>
          <w:sz w:val="24"/>
          <w:szCs w:val="24"/>
          <w:lang w:val="en-US"/>
        </w:rPr>
        <w:t>travellers</w:t>
      </w:r>
      <w:proofErr w:type="spellEnd"/>
      <w:r w:rsidRPr="0052783C">
        <w:rPr>
          <w:rFonts w:ascii="Garamond" w:hAnsi="Garamond"/>
          <w:sz w:val="24"/>
          <w:szCs w:val="24"/>
          <w:lang w:val="en-US"/>
        </w:rPr>
        <w:t xml:space="preserve"> recognized certain traits common to the system: Wealth could be obtained outside Europe and imported to the mother countries. The trade company was a strong economic form of organization and introduced early in Denmark.</w:t>
      </w:r>
      <w:r w:rsidRPr="0052783C">
        <w:rPr>
          <w:rStyle w:val="Slutkommentarsreferens"/>
          <w:rFonts w:ascii="Garamond" w:hAnsi="Garamond"/>
          <w:sz w:val="24"/>
          <w:szCs w:val="24"/>
        </w:rPr>
        <w:endnoteReference w:id="10"/>
      </w:r>
      <w:r w:rsidRPr="0052783C">
        <w:rPr>
          <w:rFonts w:ascii="Garamond" w:hAnsi="Garamond"/>
          <w:sz w:val="24"/>
          <w:szCs w:val="24"/>
          <w:lang w:val="en-US"/>
        </w:rPr>
        <w:t xml:space="preserve"> Silver and other precious metals were accessible in America and coveted in China – the world’s largest market with a population of around one fifth of the world’s inhabitants.</w:t>
      </w:r>
      <w:r w:rsidRPr="0052783C">
        <w:rPr>
          <w:rStyle w:val="Slutkommentarsreferens"/>
          <w:rFonts w:ascii="Garamond" w:hAnsi="Garamond"/>
          <w:sz w:val="24"/>
          <w:szCs w:val="24"/>
        </w:rPr>
        <w:endnoteReference w:id="11"/>
      </w:r>
      <w:r w:rsidRPr="0052783C">
        <w:rPr>
          <w:rFonts w:ascii="Garamond" w:hAnsi="Garamond"/>
          <w:sz w:val="24"/>
          <w:szCs w:val="24"/>
          <w:lang w:val="en-US"/>
        </w:rPr>
        <w:t xml:space="preserve"> In the middle of all this, between theory and praxis, in the spaces between home and abroad and between the domestic red earthenware and the Chinese porcelain,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lived and acted, leaving shipwrecks, manors, a fort and an industrial landscape for us to study. These material aspects of past lives,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Gjedde’s</w:t>
      </w:r>
      <w:proofErr w:type="spellEnd"/>
      <w:r w:rsidRPr="0052783C">
        <w:rPr>
          <w:rFonts w:ascii="Garamond" w:hAnsi="Garamond"/>
          <w:sz w:val="24"/>
          <w:szCs w:val="24"/>
          <w:lang w:val="en-US"/>
        </w:rPr>
        <w:t xml:space="preserve"> and the </w:t>
      </w:r>
      <w:proofErr w:type="spellStart"/>
      <w:r w:rsidRPr="0052783C">
        <w:rPr>
          <w:rFonts w:ascii="Garamond" w:hAnsi="Garamond"/>
          <w:sz w:val="24"/>
          <w:szCs w:val="24"/>
          <w:lang w:val="en-US"/>
        </w:rPr>
        <w:t>actants</w:t>
      </w:r>
      <w:proofErr w:type="spellEnd"/>
      <w:r w:rsidRPr="0052783C">
        <w:rPr>
          <w:rFonts w:ascii="Garamond" w:hAnsi="Garamond"/>
          <w:sz w:val="24"/>
          <w:szCs w:val="24"/>
          <w:lang w:val="en-US"/>
        </w:rPr>
        <w:t>’ lives have not been studied together, as part of a global whole before, nor have they been discussed in an international theoretical context.</w:t>
      </w:r>
    </w:p>
    <w:p w:rsidR="00ED79A7" w:rsidRPr="003F2E90" w:rsidRDefault="003F2E90" w:rsidP="003F2E90">
      <w:pPr>
        <w:spacing w:after="0" w:line="360" w:lineRule="auto"/>
        <w:rPr>
          <w:rFonts w:ascii="Garamond" w:hAnsi="Garamond"/>
          <w:i/>
          <w:sz w:val="24"/>
          <w:szCs w:val="24"/>
          <w:lang w:val="en-US"/>
        </w:rPr>
      </w:pPr>
      <w:r w:rsidRPr="003F2E90">
        <w:rPr>
          <w:rFonts w:ascii="Garamond" w:hAnsi="Garamond"/>
          <w:i/>
          <w:sz w:val="24"/>
          <w:szCs w:val="24"/>
          <w:lang w:val="en-US"/>
        </w:rPr>
        <w:t>Mercantilist biography</w:t>
      </w:r>
    </w:p>
    <w:p w:rsidR="00ED79A7" w:rsidRPr="003F2E90" w:rsidRDefault="00ED79A7" w:rsidP="003F2E90">
      <w:pPr>
        <w:spacing w:after="0" w:line="360" w:lineRule="auto"/>
        <w:rPr>
          <w:rFonts w:ascii="Garamond" w:hAnsi="Garamond"/>
          <w:sz w:val="24"/>
          <w:szCs w:val="24"/>
          <w:lang w:val="en-US"/>
        </w:rPr>
      </w:pP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was born in 1594 at his family’s manor of </w:t>
      </w:r>
      <w:proofErr w:type="spellStart"/>
      <w:r w:rsidRPr="0052783C">
        <w:rPr>
          <w:rFonts w:ascii="Garamond" w:hAnsi="Garamond"/>
          <w:sz w:val="24"/>
          <w:szCs w:val="24"/>
          <w:lang w:val="en-US"/>
        </w:rPr>
        <w:t>Tommarp</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Kvidinge</w:t>
      </w:r>
      <w:proofErr w:type="spellEnd"/>
      <w:r w:rsidRPr="0052783C">
        <w:rPr>
          <w:rFonts w:ascii="Garamond" w:hAnsi="Garamond"/>
          <w:sz w:val="24"/>
          <w:szCs w:val="24"/>
          <w:lang w:val="en-US"/>
        </w:rPr>
        <w:t xml:space="preserve"> Parish, south-east of Helsingborg in present-day Sweden.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Gjedde’s</w:t>
      </w:r>
      <w:proofErr w:type="spellEnd"/>
      <w:r w:rsidRPr="0052783C">
        <w:rPr>
          <w:rFonts w:ascii="Garamond" w:hAnsi="Garamond"/>
          <w:sz w:val="24"/>
          <w:szCs w:val="24"/>
          <w:lang w:val="en-US"/>
        </w:rPr>
        <w:t xml:space="preserve"> older brothers died young, and even though he was the fourth in line to inherit, he ended up the head of the family.</w:t>
      </w:r>
      <w:r w:rsidRPr="0052783C">
        <w:rPr>
          <w:rStyle w:val="Slutkommentarsreferens"/>
          <w:rFonts w:ascii="Garamond" w:hAnsi="Garamond"/>
          <w:sz w:val="24"/>
          <w:szCs w:val="24"/>
        </w:rPr>
        <w:endnoteReference w:id="12"/>
      </w:r>
      <w:r w:rsidR="003F2E90">
        <w:rPr>
          <w:rFonts w:ascii="Garamond" w:hAnsi="Garamond"/>
          <w:sz w:val="24"/>
          <w:szCs w:val="24"/>
          <w:lang w:val="en-US"/>
        </w:rPr>
        <w:t xml:space="preserve"> </w:t>
      </w:r>
      <w:proofErr w:type="spellStart"/>
      <w:r w:rsidRPr="003F2E90">
        <w:rPr>
          <w:rFonts w:ascii="Garamond" w:hAnsi="Garamond"/>
          <w:sz w:val="24"/>
          <w:szCs w:val="24"/>
          <w:lang w:val="en-US"/>
        </w:rPr>
        <w:t>Gjedde</w:t>
      </w:r>
      <w:proofErr w:type="spellEnd"/>
      <w:r w:rsidRPr="003F2E90">
        <w:rPr>
          <w:rFonts w:ascii="Garamond" w:hAnsi="Garamond"/>
          <w:sz w:val="24"/>
          <w:szCs w:val="24"/>
          <w:lang w:val="en-US"/>
        </w:rPr>
        <w:t xml:space="preserve"> was given a proper education suitable for a young aristocrat. He went to the </w:t>
      </w:r>
      <w:proofErr w:type="spellStart"/>
      <w:r w:rsidRPr="003F2E90">
        <w:rPr>
          <w:rFonts w:ascii="Garamond" w:hAnsi="Garamond"/>
          <w:sz w:val="24"/>
          <w:szCs w:val="24"/>
          <w:lang w:val="en-US"/>
        </w:rPr>
        <w:t>Sorø</w:t>
      </w:r>
      <w:proofErr w:type="spellEnd"/>
      <w:r w:rsidRPr="003F2E90">
        <w:rPr>
          <w:rFonts w:ascii="Garamond" w:hAnsi="Garamond"/>
          <w:sz w:val="24"/>
          <w:szCs w:val="24"/>
          <w:lang w:val="en-US"/>
        </w:rPr>
        <w:t xml:space="preserve"> School in 1610, and with the exception of some short intermissions due to the death of his father, he gained his degree and continued to study fortification and law in Amsterdam.</w:t>
      </w:r>
      <w:r w:rsidRPr="003F2E90">
        <w:rPr>
          <w:rStyle w:val="Slutkommentarsreferens"/>
          <w:rFonts w:ascii="Garamond" w:hAnsi="Garamond"/>
          <w:sz w:val="24"/>
          <w:szCs w:val="24"/>
        </w:rPr>
        <w:endnoteReference w:id="13"/>
      </w:r>
      <w:r w:rsidRPr="003F2E90">
        <w:rPr>
          <w:rFonts w:ascii="Garamond" w:hAnsi="Garamond"/>
          <w:sz w:val="24"/>
          <w:szCs w:val="24"/>
          <w:lang w:val="en-US"/>
        </w:rPr>
        <w:t xml:space="preserve"> </w:t>
      </w:r>
    </w:p>
    <w:p w:rsidR="00ED79A7" w:rsidRPr="0052783C" w:rsidRDefault="00ED79A7" w:rsidP="003F2E90">
      <w:pPr>
        <w:spacing w:after="0" w:line="360" w:lineRule="auto"/>
        <w:ind w:firstLine="720"/>
        <w:rPr>
          <w:rFonts w:ascii="Garamond" w:hAnsi="Garamond"/>
          <w:sz w:val="24"/>
          <w:szCs w:val="24"/>
          <w:lang w:val="en-US"/>
        </w:rPr>
      </w:pPr>
      <w:r w:rsidRPr="0052783C">
        <w:rPr>
          <w:rFonts w:ascii="Garamond" w:hAnsi="Garamond"/>
          <w:sz w:val="24"/>
          <w:szCs w:val="24"/>
          <w:lang w:val="en-US"/>
        </w:rPr>
        <w:t xml:space="preserve">The life of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is known from contemporary printed and unprinted sources. Regarding his journey to Ceylon and India, it is known through three reports of his own hand.</w:t>
      </w:r>
      <w:r w:rsidRPr="0052783C">
        <w:rPr>
          <w:rStyle w:val="Slutkommentarsreferens"/>
          <w:rFonts w:ascii="Garamond" w:hAnsi="Garamond"/>
          <w:sz w:val="24"/>
          <w:szCs w:val="24"/>
        </w:rPr>
        <w:endnoteReference w:id="14"/>
      </w:r>
      <w:r w:rsidRPr="0052783C">
        <w:rPr>
          <w:rFonts w:ascii="Garamond" w:hAnsi="Garamond"/>
          <w:sz w:val="24"/>
          <w:szCs w:val="24"/>
          <w:lang w:val="en-US"/>
        </w:rPr>
        <w:t xml:space="preserve"> Moreover, three printed books were commissioned by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and his spouse </w:t>
      </w:r>
      <w:proofErr w:type="spellStart"/>
      <w:r w:rsidRPr="0052783C">
        <w:rPr>
          <w:rFonts w:ascii="Garamond" w:hAnsi="Garamond"/>
          <w:sz w:val="24"/>
          <w:szCs w:val="24"/>
          <w:lang w:val="en-US"/>
        </w:rPr>
        <w:t>Dorte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Urne</w:t>
      </w:r>
      <w:proofErr w:type="spellEnd"/>
      <w:r w:rsidRPr="0052783C">
        <w:rPr>
          <w:rFonts w:ascii="Garamond" w:hAnsi="Garamond"/>
          <w:sz w:val="24"/>
          <w:szCs w:val="24"/>
          <w:lang w:val="en-US"/>
        </w:rPr>
        <w:t xml:space="preserve"> – their love and marriage being one of the topics.</w:t>
      </w:r>
      <w:r w:rsidRPr="0052783C">
        <w:rPr>
          <w:rStyle w:val="Slutkommentarsreferens"/>
          <w:rFonts w:ascii="Garamond" w:hAnsi="Garamond"/>
          <w:sz w:val="24"/>
          <w:szCs w:val="24"/>
        </w:rPr>
        <w:endnoteReference w:id="15"/>
      </w:r>
      <w:r w:rsidRPr="0052783C">
        <w:rPr>
          <w:rFonts w:ascii="Garamond" w:hAnsi="Garamond"/>
          <w:sz w:val="24"/>
          <w:szCs w:val="24"/>
          <w:lang w:val="en-US"/>
        </w:rPr>
        <w:t xml:space="preserve"> A report on the journey is another,</w:t>
      </w:r>
      <w:r w:rsidRPr="0052783C">
        <w:rPr>
          <w:rStyle w:val="Slutkommentarsreferens"/>
          <w:rFonts w:ascii="Garamond" w:hAnsi="Garamond"/>
          <w:sz w:val="24"/>
          <w:szCs w:val="24"/>
        </w:rPr>
        <w:endnoteReference w:id="16"/>
      </w:r>
      <w:r w:rsidRPr="0052783C">
        <w:rPr>
          <w:rFonts w:ascii="Garamond" w:hAnsi="Garamond"/>
          <w:sz w:val="24"/>
          <w:szCs w:val="24"/>
          <w:lang w:val="en-US"/>
        </w:rPr>
        <w:t xml:space="preserve"> and thirdly and most comprehensive is Michael </w:t>
      </w:r>
      <w:proofErr w:type="spellStart"/>
      <w:r w:rsidRPr="0052783C">
        <w:rPr>
          <w:rFonts w:ascii="Garamond" w:hAnsi="Garamond"/>
          <w:sz w:val="24"/>
          <w:szCs w:val="24"/>
          <w:lang w:val="en-US"/>
        </w:rPr>
        <w:t>Henrichsøn</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Tistorf’s</w:t>
      </w:r>
      <w:proofErr w:type="spellEnd"/>
      <w:r w:rsidRPr="0052783C">
        <w:rPr>
          <w:rFonts w:ascii="Garamond" w:hAnsi="Garamond"/>
          <w:sz w:val="24"/>
          <w:szCs w:val="24"/>
          <w:lang w:val="en-US"/>
        </w:rPr>
        <w:t xml:space="preserve"> funeral sermon for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from 1660, printed in 1661.</w:t>
      </w:r>
      <w:r w:rsidRPr="0052783C">
        <w:rPr>
          <w:rStyle w:val="Slutkommentarsreferens"/>
          <w:rFonts w:ascii="Garamond" w:hAnsi="Garamond"/>
          <w:sz w:val="24"/>
          <w:szCs w:val="24"/>
        </w:rPr>
        <w:endnoteReference w:id="17"/>
      </w:r>
      <w:r w:rsidRPr="0052783C">
        <w:rPr>
          <w:rFonts w:ascii="Garamond" w:hAnsi="Garamond"/>
          <w:sz w:val="24"/>
          <w:szCs w:val="24"/>
          <w:lang w:val="en-US"/>
        </w:rPr>
        <w:t xml:space="preserve"> These books were written with the purpose of glorifying the acts and life of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and some events were deemed more important than others. </w:t>
      </w:r>
      <w:proofErr w:type="spellStart"/>
      <w:r w:rsidRPr="0052783C">
        <w:rPr>
          <w:rFonts w:ascii="Garamond" w:hAnsi="Garamond"/>
          <w:sz w:val="24"/>
          <w:szCs w:val="24"/>
          <w:lang w:val="en-US"/>
        </w:rPr>
        <w:t>Gjedde’s</w:t>
      </w:r>
      <w:proofErr w:type="spellEnd"/>
      <w:r w:rsidRPr="0052783C">
        <w:rPr>
          <w:rFonts w:ascii="Garamond" w:hAnsi="Garamond"/>
          <w:sz w:val="24"/>
          <w:szCs w:val="24"/>
          <w:lang w:val="en-US"/>
        </w:rPr>
        <w:t xml:space="preserve"> part in the mining business, for example, although important for many years, is not mentioned at all in the otherwise very detailed funeral sermon. This is probably an effect of early modern aristocratic </w:t>
      </w:r>
      <w:proofErr w:type="spellStart"/>
      <w:r w:rsidRPr="0052783C">
        <w:rPr>
          <w:rFonts w:ascii="Garamond" w:hAnsi="Garamond"/>
          <w:sz w:val="24"/>
          <w:szCs w:val="24"/>
          <w:lang w:val="en-US"/>
        </w:rPr>
        <w:t>scepticism</w:t>
      </w:r>
      <w:proofErr w:type="spellEnd"/>
      <w:r w:rsidRPr="0052783C">
        <w:rPr>
          <w:rFonts w:ascii="Garamond" w:hAnsi="Garamond"/>
          <w:sz w:val="24"/>
          <w:szCs w:val="24"/>
          <w:lang w:val="en-US"/>
        </w:rPr>
        <w:t xml:space="preserve"> about trade and industry – a </w:t>
      </w:r>
      <w:proofErr w:type="spellStart"/>
      <w:r w:rsidRPr="0052783C">
        <w:rPr>
          <w:rFonts w:ascii="Garamond" w:hAnsi="Garamond"/>
          <w:sz w:val="24"/>
          <w:szCs w:val="24"/>
          <w:lang w:val="en-US"/>
        </w:rPr>
        <w:t>scepticism</w:t>
      </w:r>
      <w:proofErr w:type="spellEnd"/>
      <w:r w:rsidRPr="0052783C">
        <w:rPr>
          <w:rFonts w:ascii="Garamond" w:hAnsi="Garamond"/>
          <w:sz w:val="24"/>
          <w:szCs w:val="24"/>
          <w:lang w:val="en-US"/>
        </w:rPr>
        <w:t xml:space="preserve"> that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did not embrace in practice, as his life testifies.</w:t>
      </w:r>
      <w:r w:rsidRPr="0052783C">
        <w:rPr>
          <w:rStyle w:val="Slutkommentarsreferens"/>
          <w:rFonts w:ascii="Garamond" w:hAnsi="Garamond"/>
          <w:sz w:val="24"/>
          <w:szCs w:val="24"/>
        </w:rPr>
        <w:endnoteReference w:id="18"/>
      </w:r>
    </w:p>
    <w:p w:rsidR="00ED79A7" w:rsidRPr="0052783C" w:rsidRDefault="00ED79A7" w:rsidP="003F2E90">
      <w:pPr>
        <w:spacing w:after="0" w:line="360" w:lineRule="auto"/>
        <w:ind w:firstLine="720"/>
        <w:rPr>
          <w:rFonts w:ascii="Garamond" w:hAnsi="Garamond"/>
          <w:sz w:val="24"/>
          <w:szCs w:val="24"/>
          <w:lang w:val="en-US"/>
        </w:rPr>
      </w:pPr>
      <w:r w:rsidRPr="0052783C">
        <w:rPr>
          <w:rFonts w:ascii="Garamond" w:hAnsi="Garamond"/>
          <w:sz w:val="24"/>
          <w:szCs w:val="24"/>
          <w:lang w:val="en-US"/>
        </w:rPr>
        <w:lastRenderedPageBreak/>
        <w:t xml:space="preserve">The founding of the </w:t>
      </w:r>
      <w:proofErr w:type="spellStart"/>
      <w:r w:rsidRPr="0052783C">
        <w:rPr>
          <w:rFonts w:ascii="Garamond" w:hAnsi="Garamond"/>
          <w:sz w:val="24"/>
          <w:szCs w:val="24"/>
          <w:lang w:val="en-US"/>
        </w:rPr>
        <w:t>Tranquebar</w:t>
      </w:r>
      <w:proofErr w:type="spellEnd"/>
      <w:r w:rsidRPr="0052783C">
        <w:rPr>
          <w:rFonts w:ascii="Garamond" w:hAnsi="Garamond"/>
          <w:sz w:val="24"/>
          <w:szCs w:val="24"/>
          <w:lang w:val="en-US"/>
        </w:rPr>
        <w:t xml:space="preserve"> Colony, Denmark’s first tropical overseas colony, in 1620 and in Danish hands until 1845 is generally regarded as </w:t>
      </w:r>
      <w:proofErr w:type="spellStart"/>
      <w:r w:rsidRPr="0052783C">
        <w:rPr>
          <w:rFonts w:ascii="Garamond" w:hAnsi="Garamond"/>
          <w:sz w:val="24"/>
          <w:szCs w:val="24"/>
          <w:lang w:val="en-US"/>
        </w:rPr>
        <w:t>Gjedde’s</w:t>
      </w:r>
      <w:proofErr w:type="spellEnd"/>
      <w:r w:rsidRPr="0052783C">
        <w:rPr>
          <w:rFonts w:ascii="Garamond" w:hAnsi="Garamond"/>
          <w:sz w:val="24"/>
          <w:szCs w:val="24"/>
          <w:lang w:val="en-US"/>
        </w:rPr>
        <w:t xml:space="preserve"> major achievement. The background to the foundation of the </w:t>
      </w:r>
      <w:proofErr w:type="spellStart"/>
      <w:r w:rsidRPr="0052783C">
        <w:rPr>
          <w:rFonts w:ascii="Garamond" w:hAnsi="Garamond"/>
          <w:sz w:val="24"/>
          <w:szCs w:val="24"/>
          <w:lang w:val="en-US"/>
        </w:rPr>
        <w:t>Tranquebar</w:t>
      </w:r>
      <w:proofErr w:type="spellEnd"/>
      <w:r w:rsidRPr="0052783C">
        <w:rPr>
          <w:rFonts w:ascii="Garamond" w:hAnsi="Garamond"/>
          <w:sz w:val="24"/>
          <w:szCs w:val="24"/>
          <w:lang w:val="en-US"/>
        </w:rPr>
        <w:t xml:space="preserve"> colony is surprising and rather comical. In 1616 the Danish East India Company (DEIC) was founded, as the third in Europe after the English counterpart in 1600 and the Dutch VOC in 1602. In the following year (1617) a Dutch adventurer, </w:t>
      </w:r>
      <w:proofErr w:type="spellStart"/>
      <w:r w:rsidRPr="0052783C">
        <w:rPr>
          <w:rFonts w:ascii="Garamond" w:hAnsi="Garamond"/>
          <w:sz w:val="24"/>
          <w:szCs w:val="24"/>
          <w:lang w:val="en-US"/>
        </w:rPr>
        <w:t>Marchelis</w:t>
      </w:r>
      <w:proofErr w:type="spellEnd"/>
      <w:r w:rsidRPr="0052783C">
        <w:rPr>
          <w:rFonts w:ascii="Garamond" w:hAnsi="Garamond"/>
          <w:sz w:val="24"/>
          <w:szCs w:val="24"/>
          <w:lang w:val="en-US"/>
        </w:rPr>
        <w:t xml:space="preserve"> de </w:t>
      </w:r>
      <w:proofErr w:type="spellStart"/>
      <w:r w:rsidRPr="0052783C">
        <w:rPr>
          <w:rFonts w:ascii="Garamond" w:hAnsi="Garamond"/>
          <w:sz w:val="24"/>
          <w:szCs w:val="24"/>
          <w:lang w:val="en-US"/>
        </w:rPr>
        <w:t>Boshouwer</w:t>
      </w:r>
      <w:proofErr w:type="spellEnd"/>
      <w:r w:rsidRPr="0052783C">
        <w:rPr>
          <w:rFonts w:ascii="Garamond" w:hAnsi="Garamond"/>
          <w:sz w:val="24"/>
          <w:szCs w:val="24"/>
          <w:lang w:val="en-US"/>
        </w:rPr>
        <w:t>, in the service of the king of Kandy, Ceylon, present day Sri Lanka, persuaded Christian IV to form an alliance with his master. Denmark would support Kandy with ships and troops against the Portuguese in exchange for trade privileges.</w:t>
      </w:r>
      <w:r w:rsidRPr="0052783C">
        <w:rPr>
          <w:rStyle w:val="Slutkommentarsreferens"/>
          <w:rFonts w:ascii="Garamond" w:hAnsi="Garamond"/>
          <w:sz w:val="24"/>
          <w:szCs w:val="24"/>
        </w:rPr>
        <w:endnoteReference w:id="19"/>
      </w:r>
      <w:r w:rsidRPr="0052783C">
        <w:rPr>
          <w:rFonts w:ascii="Garamond" w:hAnsi="Garamond"/>
          <w:sz w:val="24"/>
          <w:szCs w:val="24"/>
          <w:lang w:val="en-US"/>
        </w:rPr>
        <w:t xml:space="preserve"> The DEIC and the Danish king would share the financial load in exchange for an expected surplus. On 29 November 1618 the expedition left with five ships,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was appointed commander of the main ship, </w:t>
      </w:r>
      <w:r w:rsidRPr="0052783C">
        <w:rPr>
          <w:rFonts w:ascii="Garamond" w:hAnsi="Garamond"/>
          <w:i/>
          <w:sz w:val="24"/>
          <w:szCs w:val="24"/>
          <w:lang w:val="en-US"/>
        </w:rPr>
        <w:t>The Elephant</w:t>
      </w:r>
      <w:r w:rsidRPr="0052783C">
        <w:rPr>
          <w:rFonts w:ascii="Garamond" w:hAnsi="Garamond"/>
          <w:sz w:val="24"/>
          <w:szCs w:val="24"/>
          <w:lang w:val="en-US"/>
        </w:rPr>
        <w:t>,</w:t>
      </w:r>
      <w:r w:rsidRPr="0052783C">
        <w:rPr>
          <w:rStyle w:val="Slutkommentarsreferens"/>
          <w:rFonts w:ascii="Garamond" w:hAnsi="Garamond"/>
          <w:sz w:val="24"/>
          <w:szCs w:val="24"/>
        </w:rPr>
        <w:endnoteReference w:id="20"/>
      </w:r>
      <w:r w:rsidRPr="0052783C">
        <w:rPr>
          <w:rFonts w:ascii="Garamond" w:hAnsi="Garamond"/>
          <w:sz w:val="24"/>
          <w:szCs w:val="24"/>
          <w:lang w:val="en-US"/>
        </w:rPr>
        <w:t xml:space="preserve"> for a journey that would take three and a half years. </w:t>
      </w:r>
    </w:p>
    <w:p w:rsidR="00ED79A7" w:rsidRPr="0052783C" w:rsidRDefault="00ED79A7" w:rsidP="00ED79A7">
      <w:pPr>
        <w:pStyle w:val="Newpara"/>
        <w:rPr>
          <w:rFonts w:ascii="Garamond" w:hAnsi="Garamond"/>
        </w:rPr>
      </w:pPr>
      <w:r w:rsidRPr="0052783C">
        <w:rPr>
          <w:rFonts w:ascii="Garamond" w:hAnsi="Garamond"/>
        </w:rPr>
        <w:t xml:space="preserve">The arrival in Ceylon must have been an anti-climax: the king of Kandy had been at peace with Portugal for three years and the DEIC was not exactly welcome. In June 1620 </w:t>
      </w:r>
      <w:proofErr w:type="spellStart"/>
      <w:r w:rsidRPr="0052783C">
        <w:rPr>
          <w:rFonts w:ascii="Garamond" w:hAnsi="Garamond"/>
        </w:rPr>
        <w:t>Crappé</w:t>
      </w:r>
      <w:proofErr w:type="spellEnd"/>
      <w:r w:rsidRPr="0052783C">
        <w:rPr>
          <w:rFonts w:ascii="Garamond" w:hAnsi="Garamond"/>
        </w:rPr>
        <w:t xml:space="preserve"> informed </w:t>
      </w:r>
      <w:proofErr w:type="spellStart"/>
      <w:r w:rsidRPr="0052783C">
        <w:rPr>
          <w:rFonts w:ascii="Garamond" w:hAnsi="Garamond"/>
        </w:rPr>
        <w:t>Gjedde</w:t>
      </w:r>
      <w:proofErr w:type="spellEnd"/>
      <w:r w:rsidRPr="0052783C">
        <w:rPr>
          <w:rFonts w:ascii="Garamond" w:hAnsi="Garamond"/>
        </w:rPr>
        <w:t xml:space="preserve"> of successful parallel negotiations with the Prince of </w:t>
      </w:r>
      <w:proofErr w:type="spellStart"/>
      <w:r w:rsidRPr="0052783C">
        <w:rPr>
          <w:rFonts w:ascii="Garamond" w:hAnsi="Garamond"/>
        </w:rPr>
        <w:t>Tandschor</w:t>
      </w:r>
      <w:proofErr w:type="spellEnd"/>
      <w:r w:rsidRPr="0052783C">
        <w:rPr>
          <w:rFonts w:ascii="Garamond" w:hAnsi="Garamond"/>
        </w:rPr>
        <w:t xml:space="preserve"> on the Coromandel Coast, resulting in a village on the Coromandel Coast for the Danes.</w:t>
      </w:r>
      <w:r w:rsidRPr="0052783C">
        <w:rPr>
          <w:rStyle w:val="Slutkommentarsreferens"/>
          <w:rFonts w:ascii="Garamond" w:hAnsi="Garamond"/>
        </w:rPr>
        <w:endnoteReference w:id="21"/>
      </w:r>
      <w:r w:rsidRPr="0052783C">
        <w:rPr>
          <w:rFonts w:ascii="Garamond" w:hAnsi="Garamond"/>
        </w:rPr>
        <w:t xml:space="preserve"> The prince, or </w:t>
      </w:r>
      <w:proofErr w:type="spellStart"/>
      <w:r w:rsidRPr="0052783C">
        <w:rPr>
          <w:rFonts w:ascii="Garamond" w:hAnsi="Garamond"/>
        </w:rPr>
        <w:t>najk</w:t>
      </w:r>
      <w:proofErr w:type="spellEnd"/>
      <w:r w:rsidRPr="0052783C">
        <w:rPr>
          <w:rFonts w:ascii="Garamond" w:hAnsi="Garamond"/>
        </w:rPr>
        <w:t>, wanted to weaken the position of the Portuguese and welcomed other foreign agents.</w:t>
      </w:r>
      <w:r w:rsidRPr="0052783C">
        <w:rPr>
          <w:rStyle w:val="Slutkommentarsreferens"/>
          <w:rFonts w:ascii="Garamond" w:hAnsi="Garamond"/>
        </w:rPr>
        <w:endnoteReference w:id="22"/>
      </w:r>
      <w:r w:rsidRPr="0052783C">
        <w:rPr>
          <w:rFonts w:ascii="Garamond" w:hAnsi="Garamond"/>
        </w:rPr>
        <w:t xml:space="preserve"> </w:t>
      </w:r>
    </w:p>
    <w:p w:rsidR="00ED79A7" w:rsidRPr="0052783C" w:rsidRDefault="00ED79A7" w:rsidP="003F2E90">
      <w:pPr>
        <w:spacing w:after="0" w:line="360" w:lineRule="auto"/>
        <w:ind w:firstLine="720"/>
        <w:rPr>
          <w:rFonts w:ascii="Garamond" w:hAnsi="Garamond"/>
          <w:sz w:val="24"/>
          <w:szCs w:val="24"/>
          <w:lang w:val="en-US"/>
        </w:rPr>
      </w:pPr>
      <w:r w:rsidRPr="0052783C">
        <w:rPr>
          <w:rFonts w:ascii="Garamond" w:hAnsi="Garamond"/>
          <w:sz w:val="24"/>
          <w:szCs w:val="24"/>
          <w:lang w:val="en-US"/>
        </w:rPr>
        <w:t xml:space="preserve">The plans for an alliance with Kandy and wars with Portugal eventually were transformed into the foundation of a fort on the Indian mainland and the colonial power (i.e. Denmark) had to navigate in a position as middleman or even subordinate. The diplomatic process meant a lot of passive aggressive conflicts between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and his Indian counterparts, whom he described as savages and heathens, although he was impressed by their wealth, power and garden architecture.</w:t>
      </w:r>
      <w:r w:rsidRPr="0052783C">
        <w:rPr>
          <w:rStyle w:val="Slutkommentarsreferens"/>
          <w:rFonts w:ascii="Garamond" w:hAnsi="Garamond"/>
          <w:sz w:val="24"/>
          <w:szCs w:val="24"/>
        </w:rPr>
        <w:endnoteReference w:id="23"/>
      </w:r>
      <w:r w:rsidRPr="0052783C">
        <w:rPr>
          <w:rFonts w:ascii="Garamond" w:hAnsi="Garamond"/>
          <w:sz w:val="24"/>
          <w:szCs w:val="24"/>
          <w:lang w:val="en-US"/>
        </w:rPr>
        <w:t xml:space="preserve"> Indians, on the other hand, did not esteem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who refused to bring diplomatic gifts and acknowledge ceremonial negotiations.</w:t>
      </w:r>
      <w:r w:rsidRPr="0052783C">
        <w:rPr>
          <w:rStyle w:val="Slutkommentarsreferens"/>
          <w:rFonts w:ascii="Garamond" w:hAnsi="Garamond"/>
          <w:sz w:val="24"/>
          <w:szCs w:val="24"/>
        </w:rPr>
        <w:endnoteReference w:id="24"/>
      </w:r>
      <w:r w:rsidRPr="0052783C">
        <w:rPr>
          <w:rFonts w:ascii="Garamond" w:hAnsi="Garamond"/>
          <w:sz w:val="24"/>
          <w:szCs w:val="24"/>
          <w:lang w:val="en-US"/>
        </w:rPr>
        <w:t xml:space="preserve"> </w:t>
      </w:r>
    </w:p>
    <w:p w:rsidR="00ED79A7" w:rsidRPr="0052783C" w:rsidRDefault="00ED79A7" w:rsidP="003F2E90">
      <w:pPr>
        <w:spacing w:after="0" w:line="360" w:lineRule="auto"/>
        <w:ind w:firstLine="720"/>
        <w:rPr>
          <w:rFonts w:ascii="Garamond" w:hAnsi="Garamond"/>
          <w:sz w:val="24"/>
          <w:szCs w:val="24"/>
          <w:lang w:val="en-US"/>
        </w:rPr>
      </w:pPr>
      <w:r w:rsidRPr="0052783C">
        <w:rPr>
          <w:rFonts w:ascii="Garamond" w:hAnsi="Garamond"/>
          <w:sz w:val="24"/>
          <w:szCs w:val="24"/>
          <w:lang w:val="en-US"/>
        </w:rPr>
        <w:t xml:space="preserve">The Prince of </w:t>
      </w:r>
      <w:proofErr w:type="spellStart"/>
      <w:r w:rsidRPr="0052783C">
        <w:rPr>
          <w:rFonts w:ascii="Garamond" w:hAnsi="Garamond"/>
          <w:sz w:val="24"/>
          <w:szCs w:val="24"/>
          <w:lang w:val="en-US"/>
        </w:rPr>
        <w:t>Tandschor</w:t>
      </w:r>
      <w:proofErr w:type="spellEnd"/>
      <w:r w:rsidRPr="0052783C">
        <w:rPr>
          <w:rFonts w:ascii="Garamond" w:hAnsi="Garamond"/>
          <w:sz w:val="24"/>
          <w:szCs w:val="24"/>
          <w:lang w:val="en-US"/>
        </w:rPr>
        <w:t>, although not unfriendly, did not express any high regard for the Danes: on only one occasion, when studying a Danish silver coin, was he impressed. The Danish coin was regarded as well-made and of very high quality</w:t>
      </w:r>
      <w:r w:rsidRPr="0052783C">
        <w:rPr>
          <w:rStyle w:val="Slutkommentarsreferens"/>
          <w:rFonts w:ascii="Garamond" w:hAnsi="Garamond"/>
          <w:sz w:val="24"/>
          <w:szCs w:val="24"/>
        </w:rPr>
        <w:endnoteReference w:id="25"/>
      </w:r>
      <w:r w:rsidRPr="0052783C">
        <w:rPr>
          <w:rFonts w:ascii="Garamond" w:hAnsi="Garamond"/>
          <w:sz w:val="24"/>
          <w:szCs w:val="24"/>
          <w:lang w:val="en-US"/>
        </w:rPr>
        <w:t xml:space="preserve"> – an attractive object for future exchange. Esther </w:t>
      </w:r>
      <w:proofErr w:type="spellStart"/>
      <w:r w:rsidRPr="0052783C">
        <w:rPr>
          <w:rFonts w:ascii="Garamond" w:hAnsi="Garamond"/>
          <w:sz w:val="24"/>
          <w:szCs w:val="24"/>
          <w:lang w:val="en-US"/>
        </w:rPr>
        <w:t>Fihl</w:t>
      </w:r>
      <w:proofErr w:type="spellEnd"/>
      <w:r w:rsidRPr="0052783C">
        <w:rPr>
          <w:rFonts w:ascii="Garamond" w:hAnsi="Garamond"/>
          <w:sz w:val="24"/>
          <w:szCs w:val="24"/>
          <w:lang w:val="en-US"/>
        </w:rPr>
        <w:t xml:space="preserve"> has acknowledged the modern traits of </w:t>
      </w:r>
      <w:proofErr w:type="spellStart"/>
      <w:r w:rsidRPr="0052783C">
        <w:rPr>
          <w:rFonts w:ascii="Garamond" w:hAnsi="Garamond"/>
          <w:sz w:val="24"/>
          <w:szCs w:val="24"/>
          <w:lang w:val="en-US"/>
        </w:rPr>
        <w:t>Gjedde’s</w:t>
      </w:r>
      <w:proofErr w:type="spellEnd"/>
      <w:r w:rsidRPr="0052783C">
        <w:rPr>
          <w:rFonts w:ascii="Garamond" w:hAnsi="Garamond"/>
          <w:sz w:val="24"/>
          <w:szCs w:val="24"/>
          <w:lang w:val="en-US"/>
        </w:rPr>
        <w:t xml:space="preserve"> negotiations, his need for results and his lack of patience.</w:t>
      </w:r>
      <w:r w:rsidRPr="0052783C">
        <w:rPr>
          <w:rStyle w:val="Slutkommentarsreferens"/>
          <w:rFonts w:ascii="Garamond" w:hAnsi="Garamond"/>
          <w:sz w:val="24"/>
          <w:szCs w:val="24"/>
        </w:rPr>
        <w:endnoteReference w:id="26"/>
      </w:r>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seemed to be driven by a desire for practical results and mercantile benefits – a modern sense of “time is money” in contrast to a local representative exchange or tributary economic system. Modernity in its western European sense can be regarded as developed or even born in the meeting with other economic realities, such as the one in southern India.</w:t>
      </w:r>
      <w:r w:rsidRPr="0052783C">
        <w:rPr>
          <w:rStyle w:val="Slutkommentarsreferens"/>
          <w:rFonts w:ascii="Garamond" w:hAnsi="Garamond"/>
          <w:sz w:val="24"/>
          <w:szCs w:val="24"/>
        </w:rPr>
        <w:endnoteReference w:id="27"/>
      </w:r>
    </w:p>
    <w:p w:rsidR="00ED79A7" w:rsidRPr="0052783C" w:rsidRDefault="00ED79A7" w:rsidP="003F2E90">
      <w:pPr>
        <w:spacing w:after="0" w:line="360" w:lineRule="auto"/>
        <w:ind w:firstLine="720"/>
        <w:rPr>
          <w:rFonts w:ascii="Garamond" w:hAnsi="Garamond"/>
          <w:sz w:val="24"/>
          <w:szCs w:val="24"/>
          <w:lang w:val="en-US"/>
        </w:rPr>
      </w:pPr>
      <w:r w:rsidRPr="0052783C">
        <w:rPr>
          <w:rFonts w:ascii="Garamond" w:hAnsi="Garamond"/>
          <w:sz w:val="24"/>
          <w:szCs w:val="24"/>
          <w:lang w:val="en-US"/>
        </w:rPr>
        <w:t xml:space="preserve">After several months of negotiations, in December 1620 the Danes took over control of the village of </w:t>
      </w:r>
      <w:proofErr w:type="spellStart"/>
      <w:r w:rsidRPr="0052783C">
        <w:rPr>
          <w:rFonts w:ascii="Garamond" w:hAnsi="Garamond"/>
          <w:sz w:val="24"/>
          <w:szCs w:val="24"/>
          <w:lang w:val="en-US"/>
        </w:rPr>
        <w:t>Taramgambadi</w:t>
      </w:r>
      <w:proofErr w:type="spellEnd"/>
      <w:r w:rsidR="003F2E90">
        <w:rPr>
          <w:rFonts w:ascii="Garamond" w:hAnsi="Garamond"/>
          <w:sz w:val="24"/>
          <w:szCs w:val="24"/>
          <w:lang w:val="en-US"/>
        </w:rPr>
        <w:t>,</w:t>
      </w:r>
      <w:r w:rsidRPr="0052783C">
        <w:rPr>
          <w:rFonts w:ascii="Garamond" w:hAnsi="Garamond"/>
          <w:sz w:val="24"/>
          <w:szCs w:val="24"/>
          <w:lang w:val="en-US"/>
        </w:rPr>
        <w:t xml:space="preserve"> </w:t>
      </w:r>
      <w:proofErr w:type="spellStart"/>
      <w:r w:rsidRPr="0052783C">
        <w:rPr>
          <w:rFonts w:ascii="Garamond" w:hAnsi="Garamond"/>
          <w:i/>
          <w:sz w:val="24"/>
          <w:szCs w:val="24"/>
          <w:lang w:val="en-US"/>
        </w:rPr>
        <w:t>Tranquebar</w:t>
      </w:r>
      <w:proofErr w:type="spellEnd"/>
      <w:r w:rsidRPr="0052783C">
        <w:rPr>
          <w:rFonts w:ascii="Garamond" w:hAnsi="Garamond"/>
          <w:i/>
          <w:sz w:val="24"/>
          <w:szCs w:val="24"/>
          <w:lang w:val="en-US"/>
        </w:rPr>
        <w:t>.</w:t>
      </w:r>
      <w:r w:rsidRPr="0052783C">
        <w:rPr>
          <w:rStyle w:val="Slutkommentarsreferens"/>
          <w:rFonts w:ascii="Garamond" w:hAnsi="Garamond"/>
          <w:sz w:val="24"/>
          <w:szCs w:val="24"/>
        </w:rPr>
        <w:endnoteReference w:id="28"/>
      </w:r>
      <w:r w:rsidRPr="0052783C">
        <w:rPr>
          <w:rFonts w:ascii="Garamond" w:hAnsi="Garamond"/>
          <w:sz w:val="24"/>
          <w:szCs w:val="24"/>
          <w:lang w:val="en-US"/>
        </w:rPr>
        <w:t xml:space="preserve"> Around the turn of the year 1620–21 the erection of </w:t>
      </w:r>
      <w:r w:rsidRPr="0052783C">
        <w:rPr>
          <w:rFonts w:ascii="Garamond" w:hAnsi="Garamond"/>
          <w:sz w:val="24"/>
          <w:szCs w:val="24"/>
          <w:lang w:val="en-US"/>
        </w:rPr>
        <w:lastRenderedPageBreak/>
        <w:t>the fort started and part of the old fishing village was evicted.</w:t>
      </w:r>
      <w:r w:rsidRPr="0052783C">
        <w:rPr>
          <w:rStyle w:val="Slutkommentarsreferens"/>
          <w:rFonts w:ascii="Garamond" w:hAnsi="Garamond"/>
          <w:sz w:val="24"/>
          <w:szCs w:val="24"/>
        </w:rPr>
        <w:endnoteReference w:id="29"/>
      </w:r>
      <w:r w:rsidRPr="0052783C">
        <w:rPr>
          <w:rFonts w:ascii="Garamond" w:hAnsi="Garamond"/>
          <w:sz w:val="24"/>
          <w:szCs w:val="24"/>
          <w:lang w:val="en-US"/>
        </w:rPr>
        <w:t xml:space="preserve"> In spring the same year the fort was finished, including a moat, bastions, walls and gates. One of the few proper accounts mentioning the building phase is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Gjedde’s</w:t>
      </w:r>
      <w:proofErr w:type="spellEnd"/>
      <w:r w:rsidRPr="0052783C">
        <w:rPr>
          <w:rFonts w:ascii="Garamond" w:hAnsi="Garamond"/>
          <w:sz w:val="24"/>
          <w:szCs w:val="24"/>
          <w:lang w:val="en-US"/>
        </w:rPr>
        <w:t xml:space="preserve"> commission of a limestone gate to be finished in February 1620.</w:t>
      </w:r>
      <w:r w:rsidRPr="0052783C">
        <w:rPr>
          <w:rStyle w:val="Slutkommentarsreferens"/>
          <w:rFonts w:ascii="Garamond" w:hAnsi="Garamond"/>
          <w:sz w:val="24"/>
          <w:szCs w:val="24"/>
        </w:rPr>
        <w:endnoteReference w:id="30"/>
      </w:r>
      <w:r w:rsidRPr="0052783C">
        <w:rPr>
          <w:rFonts w:ascii="Garamond" w:hAnsi="Garamond"/>
          <w:sz w:val="24"/>
          <w:szCs w:val="24"/>
          <w:lang w:val="en-US"/>
        </w:rPr>
        <w:t xml:space="preserve"> In 2008 a joint Danish-Indian excavation unearthed the former main gate of </w:t>
      </w:r>
      <w:proofErr w:type="spellStart"/>
      <w:r w:rsidRPr="0052783C">
        <w:rPr>
          <w:rFonts w:ascii="Garamond" w:hAnsi="Garamond"/>
          <w:sz w:val="24"/>
          <w:szCs w:val="24"/>
          <w:lang w:val="en-US"/>
        </w:rPr>
        <w:t>Dansborg</w:t>
      </w:r>
      <w:proofErr w:type="spellEnd"/>
      <w:r w:rsidRPr="0052783C">
        <w:rPr>
          <w:rFonts w:ascii="Garamond" w:hAnsi="Garamond"/>
          <w:sz w:val="24"/>
          <w:szCs w:val="24"/>
          <w:lang w:val="en-US"/>
        </w:rPr>
        <w:t>, recovering debris from the seventeenth-century garrison and among other things parts of the old gate that was torn down in the late eighteenth century.</w:t>
      </w:r>
      <w:r w:rsidRPr="0052783C">
        <w:rPr>
          <w:rStyle w:val="Slutkommentarsreferens"/>
          <w:rFonts w:ascii="Garamond" w:hAnsi="Garamond"/>
          <w:sz w:val="24"/>
          <w:szCs w:val="24"/>
        </w:rPr>
        <w:endnoteReference w:id="31"/>
      </w:r>
      <w:r w:rsidRPr="0052783C">
        <w:rPr>
          <w:rFonts w:ascii="Garamond" w:hAnsi="Garamond"/>
          <w:sz w:val="24"/>
          <w:szCs w:val="24"/>
          <w:lang w:val="en-US"/>
        </w:rPr>
        <w:t xml:space="preserve"> Pieces of limestone sculptures were found that could be identified as parts of mermaids and waves – typical Renaissance and baroque motifs – symbolizing the mythical riches, the awaiting prosperity and the danger of the oceans. A drawing of the pre-1780s gate exists and the pieces found could be fitted into that.</w:t>
      </w:r>
      <w:r w:rsidRPr="0052783C">
        <w:rPr>
          <w:rStyle w:val="Slutkommentarsreferens"/>
          <w:rFonts w:ascii="Garamond" w:hAnsi="Garamond"/>
          <w:sz w:val="24"/>
          <w:szCs w:val="24"/>
        </w:rPr>
        <w:endnoteReference w:id="32"/>
      </w:r>
      <w:r w:rsidRPr="0052783C">
        <w:rPr>
          <w:rFonts w:ascii="Garamond" w:hAnsi="Garamond"/>
          <w:sz w:val="24"/>
          <w:szCs w:val="24"/>
          <w:lang w:val="en-US"/>
        </w:rPr>
        <w:t xml:space="preserve"> The drawing shows a classical European vaulted main gate with steep angled vaults on the sides, thus picking up both European and Indian ideals. The central part of the gate is probably the one commissioned and drawn by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In his reports for 24 December,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mentions commissioning a vaulted gate from local stone masons.</w:t>
      </w:r>
      <w:r w:rsidRPr="0052783C">
        <w:rPr>
          <w:rStyle w:val="Slutkommentarsreferens"/>
          <w:rFonts w:ascii="Garamond" w:hAnsi="Garamond"/>
          <w:sz w:val="24"/>
          <w:szCs w:val="24"/>
        </w:rPr>
        <w:endnoteReference w:id="33"/>
      </w:r>
      <w:r w:rsidRPr="0052783C">
        <w:rPr>
          <w:rFonts w:ascii="Garamond" w:hAnsi="Garamond"/>
          <w:sz w:val="24"/>
          <w:szCs w:val="24"/>
          <w:lang w:val="en-US"/>
        </w:rPr>
        <w:t xml:space="preserve"> The small pieces of a volute and a mermaid’s tail were thus made in the winter of 1621 by Indian</w:t>
      </w:r>
      <w:r w:rsidR="003F2E90">
        <w:rPr>
          <w:rFonts w:ascii="Garamond" w:hAnsi="Garamond"/>
          <w:sz w:val="24"/>
          <w:szCs w:val="24"/>
          <w:lang w:val="en-US"/>
        </w:rPr>
        <w:t xml:space="preserve"> or </w:t>
      </w:r>
      <w:proofErr w:type="spellStart"/>
      <w:r w:rsidR="003F2E90">
        <w:rPr>
          <w:rFonts w:ascii="Garamond" w:hAnsi="Garamond"/>
          <w:sz w:val="24"/>
          <w:szCs w:val="24"/>
          <w:lang w:val="en-US"/>
        </w:rPr>
        <w:t>Luso</w:t>
      </w:r>
      <w:proofErr w:type="spellEnd"/>
      <w:r w:rsidR="003F2E90">
        <w:rPr>
          <w:rFonts w:ascii="Garamond" w:hAnsi="Garamond"/>
          <w:sz w:val="24"/>
          <w:szCs w:val="24"/>
          <w:lang w:val="en-US"/>
        </w:rPr>
        <w:t>-Indian</w:t>
      </w:r>
      <w:r w:rsidRPr="0052783C">
        <w:rPr>
          <w:rFonts w:ascii="Garamond" w:hAnsi="Garamond"/>
          <w:sz w:val="24"/>
          <w:szCs w:val="24"/>
          <w:lang w:val="en-US"/>
        </w:rPr>
        <w:t xml:space="preserve"> masons. The gate, although a stark statement of European classical ideas, connoting the early modern ideological understanding of New Rome,</w:t>
      </w:r>
      <w:r w:rsidRPr="0052783C">
        <w:rPr>
          <w:rStyle w:val="Slutkommentarsreferens"/>
          <w:rFonts w:ascii="Garamond" w:hAnsi="Garamond"/>
          <w:sz w:val="24"/>
          <w:szCs w:val="24"/>
        </w:rPr>
        <w:endnoteReference w:id="34"/>
      </w:r>
      <w:r w:rsidRPr="0052783C">
        <w:rPr>
          <w:rFonts w:ascii="Garamond" w:hAnsi="Garamond"/>
          <w:sz w:val="24"/>
          <w:szCs w:val="24"/>
          <w:lang w:val="en-US"/>
        </w:rPr>
        <w:t xml:space="preserve"> was at the same time a hybrid, a material meeting place between Western</w:t>
      </w:r>
      <w:r w:rsidR="003F2E90">
        <w:rPr>
          <w:rFonts w:ascii="Garamond" w:hAnsi="Garamond"/>
          <w:sz w:val="24"/>
          <w:szCs w:val="24"/>
          <w:lang w:val="en-US"/>
        </w:rPr>
        <w:t xml:space="preserve"> Europe, Scandinavia and India.</w:t>
      </w:r>
    </w:p>
    <w:p w:rsidR="00ED79A7" w:rsidRPr="0052783C" w:rsidRDefault="003F2E90" w:rsidP="003F2E90">
      <w:pPr>
        <w:spacing w:after="0" w:line="360" w:lineRule="auto"/>
        <w:ind w:firstLine="720"/>
        <w:rPr>
          <w:rFonts w:ascii="Garamond" w:hAnsi="Garamond"/>
          <w:sz w:val="24"/>
          <w:szCs w:val="24"/>
          <w:lang w:val="en-US"/>
        </w:rPr>
      </w:pPr>
      <w:r>
        <w:rPr>
          <w:rFonts w:ascii="Garamond" w:hAnsi="Garamond"/>
          <w:sz w:val="24"/>
          <w:szCs w:val="24"/>
          <w:lang w:val="en-US"/>
        </w:rPr>
        <w:tab/>
      </w:r>
      <w:r w:rsidR="00ED79A7" w:rsidRPr="0052783C">
        <w:rPr>
          <w:rFonts w:ascii="Garamond" w:hAnsi="Garamond"/>
          <w:sz w:val="24"/>
          <w:szCs w:val="24"/>
          <w:lang w:val="en-US"/>
        </w:rPr>
        <w:t>The need for cash (silver coins) and food, transportation and settlements functioned as non-human agents which through time and in various ways developed within the context of the networks. The canons changed meanings from a martial necessity to a trade object ending up in Indian hands. A military pact was transformed into a fort – keeping Denmark in India for another 224 years. Porcelain and spices and later on perhaps opium</w:t>
      </w:r>
      <w:r w:rsidR="00ED79A7" w:rsidRPr="0052783C">
        <w:rPr>
          <w:rStyle w:val="Slutkommentarsreferens"/>
          <w:rFonts w:ascii="Garamond" w:hAnsi="Garamond"/>
          <w:sz w:val="24"/>
          <w:szCs w:val="24"/>
        </w:rPr>
        <w:endnoteReference w:id="35"/>
      </w:r>
      <w:r w:rsidR="00ED79A7" w:rsidRPr="0052783C">
        <w:rPr>
          <w:rFonts w:ascii="Garamond" w:hAnsi="Garamond"/>
          <w:sz w:val="24"/>
          <w:szCs w:val="24"/>
          <w:lang w:val="en-US"/>
        </w:rPr>
        <w:t xml:space="preserve"> kept the Danish economy on a steadily augmenting course of globalization. The ships themselves were perhaps the prime </w:t>
      </w:r>
      <w:proofErr w:type="spellStart"/>
      <w:r w:rsidR="00ED79A7" w:rsidRPr="0052783C">
        <w:rPr>
          <w:rFonts w:ascii="Garamond" w:hAnsi="Garamond"/>
          <w:sz w:val="24"/>
          <w:szCs w:val="24"/>
          <w:lang w:val="en-US"/>
        </w:rPr>
        <w:t>actants</w:t>
      </w:r>
      <w:proofErr w:type="spellEnd"/>
      <w:r w:rsidR="00ED79A7" w:rsidRPr="0052783C">
        <w:rPr>
          <w:rFonts w:ascii="Garamond" w:hAnsi="Garamond"/>
          <w:sz w:val="24"/>
          <w:szCs w:val="24"/>
          <w:lang w:val="en-US"/>
        </w:rPr>
        <w:t xml:space="preserve"> of the whole early Danish-</w:t>
      </w:r>
      <w:proofErr w:type="spellStart"/>
      <w:r w:rsidR="00ED79A7" w:rsidRPr="0052783C">
        <w:rPr>
          <w:rFonts w:ascii="Garamond" w:hAnsi="Garamond"/>
          <w:sz w:val="24"/>
          <w:szCs w:val="24"/>
          <w:lang w:val="en-US"/>
        </w:rPr>
        <w:t>Tranquebar</w:t>
      </w:r>
      <w:proofErr w:type="spellEnd"/>
      <w:r w:rsidR="00ED79A7" w:rsidRPr="0052783C">
        <w:rPr>
          <w:rFonts w:ascii="Garamond" w:hAnsi="Garamond"/>
          <w:sz w:val="24"/>
          <w:szCs w:val="24"/>
          <w:lang w:val="en-US"/>
        </w:rPr>
        <w:t xml:space="preserve"> network.</w:t>
      </w:r>
      <w:r w:rsidR="00ED79A7" w:rsidRPr="0052783C">
        <w:rPr>
          <w:rStyle w:val="Slutkommentarsreferens"/>
          <w:rFonts w:ascii="Garamond" w:hAnsi="Garamond"/>
          <w:sz w:val="24"/>
          <w:szCs w:val="24"/>
        </w:rPr>
        <w:endnoteReference w:id="36"/>
      </w:r>
      <w:r w:rsidR="00ED79A7" w:rsidRPr="0052783C">
        <w:rPr>
          <w:rFonts w:ascii="Garamond" w:hAnsi="Garamond"/>
          <w:sz w:val="24"/>
          <w:szCs w:val="24"/>
          <w:lang w:val="en-US"/>
        </w:rPr>
        <w:t xml:space="preserve"> The ships had people acting – bringing them across half the world, giving people seasickness and scurvy as well as riches and experiences. A Dutch trade ship named </w:t>
      </w:r>
      <w:proofErr w:type="spellStart"/>
      <w:r w:rsidR="00ED79A7" w:rsidRPr="0052783C">
        <w:rPr>
          <w:rFonts w:ascii="Garamond" w:hAnsi="Garamond"/>
          <w:i/>
          <w:iCs/>
          <w:sz w:val="24"/>
          <w:szCs w:val="24"/>
          <w:lang w:val="en-US"/>
        </w:rPr>
        <w:t>Melkepigen</w:t>
      </w:r>
      <w:proofErr w:type="spellEnd"/>
      <w:r w:rsidR="00ED79A7" w:rsidRPr="0052783C">
        <w:rPr>
          <w:rFonts w:ascii="Garamond" w:hAnsi="Garamond"/>
          <w:sz w:val="24"/>
          <w:szCs w:val="24"/>
          <w:lang w:val="en-US"/>
        </w:rPr>
        <w:t xml:space="preserve"> (The Milk Maid), built in the early seventeenth century and sold to Sweden, captured by Denmark in the Kalmar War of 1611–13, was eventually clad with copper sheets and renamed </w:t>
      </w:r>
      <w:r w:rsidR="00ED79A7" w:rsidRPr="0052783C">
        <w:rPr>
          <w:rFonts w:ascii="Garamond" w:hAnsi="Garamond"/>
          <w:i/>
          <w:iCs/>
          <w:sz w:val="24"/>
          <w:szCs w:val="24"/>
          <w:lang w:val="en-US"/>
        </w:rPr>
        <w:t>The Elephant</w:t>
      </w:r>
      <w:r w:rsidR="00ED79A7" w:rsidRPr="0052783C">
        <w:rPr>
          <w:rFonts w:ascii="Garamond" w:hAnsi="Garamond"/>
          <w:sz w:val="24"/>
          <w:szCs w:val="24"/>
          <w:lang w:val="en-US"/>
        </w:rPr>
        <w:t xml:space="preserve">, leaving the Baltic and a regional context to enter a global network of VOC traders, Portuguese colonists and </w:t>
      </w:r>
      <w:proofErr w:type="spellStart"/>
      <w:r w:rsidR="00ED79A7" w:rsidRPr="0052783C">
        <w:rPr>
          <w:rFonts w:ascii="Garamond" w:hAnsi="Garamond"/>
          <w:sz w:val="24"/>
          <w:szCs w:val="24"/>
          <w:lang w:val="en-US"/>
        </w:rPr>
        <w:t>translocal</w:t>
      </w:r>
      <w:proofErr w:type="spellEnd"/>
      <w:r w:rsidR="00ED79A7" w:rsidRPr="0052783C">
        <w:rPr>
          <w:rFonts w:ascii="Garamond" w:hAnsi="Garamond"/>
          <w:sz w:val="24"/>
          <w:szCs w:val="24"/>
          <w:lang w:val="en-US"/>
        </w:rPr>
        <w:t xml:space="preserve"> pirates. </w:t>
      </w:r>
      <w:proofErr w:type="spellStart"/>
      <w:r w:rsidR="00ED79A7" w:rsidRPr="0052783C">
        <w:rPr>
          <w:rFonts w:ascii="Garamond" w:hAnsi="Garamond"/>
          <w:i/>
          <w:sz w:val="24"/>
          <w:szCs w:val="24"/>
          <w:lang w:val="en-US"/>
        </w:rPr>
        <w:t>Melkepigen</w:t>
      </w:r>
      <w:proofErr w:type="spellEnd"/>
      <w:r w:rsidR="00ED79A7" w:rsidRPr="0052783C">
        <w:rPr>
          <w:rFonts w:ascii="Garamond" w:hAnsi="Garamond"/>
          <w:sz w:val="24"/>
          <w:szCs w:val="24"/>
          <w:lang w:val="en-US"/>
        </w:rPr>
        <w:t xml:space="preserve">, when transformed, changed its passengers from local traders and soldiers to explorers and cosmopolitan brokers in trade, such as Roland </w:t>
      </w:r>
      <w:proofErr w:type="spellStart"/>
      <w:r w:rsidR="00ED79A7" w:rsidRPr="0052783C">
        <w:rPr>
          <w:rFonts w:ascii="Garamond" w:hAnsi="Garamond"/>
          <w:sz w:val="24"/>
          <w:szCs w:val="24"/>
          <w:lang w:val="en-US"/>
        </w:rPr>
        <w:t>Crappé</w:t>
      </w:r>
      <w:proofErr w:type="spellEnd"/>
      <w:r w:rsidR="00ED79A7" w:rsidRPr="0052783C">
        <w:rPr>
          <w:rFonts w:ascii="Garamond" w:hAnsi="Garamond"/>
          <w:sz w:val="24"/>
          <w:szCs w:val="24"/>
          <w:lang w:val="en-US"/>
        </w:rPr>
        <w:t xml:space="preserve"> and others. Attacked by storms and shipworms, the ships did not survive long after the return to Denmark. In February 1624 King Christian IV notes in his diary that two of the ships that took part in the first journey to East India were deliberately sunk in Copenhagen </w:t>
      </w:r>
      <w:proofErr w:type="spellStart"/>
      <w:r w:rsidR="00ED79A7" w:rsidRPr="0052783C">
        <w:rPr>
          <w:rFonts w:ascii="Garamond" w:hAnsi="Garamond"/>
          <w:sz w:val="24"/>
          <w:szCs w:val="24"/>
          <w:lang w:val="en-US"/>
        </w:rPr>
        <w:t>harbour</w:t>
      </w:r>
      <w:proofErr w:type="spellEnd"/>
      <w:r w:rsidR="00ED79A7" w:rsidRPr="0052783C">
        <w:rPr>
          <w:rFonts w:ascii="Garamond" w:hAnsi="Garamond"/>
          <w:sz w:val="24"/>
          <w:szCs w:val="24"/>
          <w:lang w:val="en-US"/>
        </w:rPr>
        <w:t>.</w:t>
      </w:r>
      <w:r w:rsidR="00ED79A7" w:rsidRPr="0052783C">
        <w:rPr>
          <w:rStyle w:val="Slutkommentarsreferens"/>
          <w:rFonts w:ascii="Garamond" w:hAnsi="Garamond"/>
          <w:sz w:val="24"/>
          <w:szCs w:val="24"/>
        </w:rPr>
        <w:endnoteReference w:id="37"/>
      </w:r>
      <w:r w:rsidR="00ED79A7" w:rsidRPr="0052783C">
        <w:rPr>
          <w:rFonts w:ascii="Garamond" w:hAnsi="Garamond"/>
          <w:sz w:val="24"/>
          <w:szCs w:val="24"/>
          <w:lang w:val="en-US"/>
        </w:rPr>
        <w:t xml:space="preserve"> </w:t>
      </w:r>
    </w:p>
    <w:p w:rsidR="003F2E90" w:rsidRPr="0052783C" w:rsidRDefault="00ED79A7" w:rsidP="00320771">
      <w:pPr>
        <w:spacing w:line="360" w:lineRule="auto"/>
        <w:ind w:firstLine="720"/>
        <w:rPr>
          <w:rFonts w:ascii="Garamond" w:hAnsi="Garamond"/>
          <w:sz w:val="24"/>
          <w:szCs w:val="24"/>
          <w:lang w:val="en-US"/>
        </w:rPr>
      </w:pPr>
      <w:r w:rsidRPr="0052783C">
        <w:rPr>
          <w:rFonts w:ascii="Garamond" w:hAnsi="Garamond"/>
          <w:sz w:val="24"/>
          <w:szCs w:val="24"/>
          <w:lang w:val="en-US"/>
        </w:rPr>
        <w:lastRenderedPageBreak/>
        <w:t>In 1996 and 1997 several extraordinarily well-preserved ships were excavated in Copenhagen.</w:t>
      </w:r>
      <w:r w:rsidRPr="0052783C">
        <w:rPr>
          <w:rStyle w:val="Slutkommentarsreferens"/>
          <w:rFonts w:ascii="Garamond" w:hAnsi="Garamond"/>
          <w:sz w:val="24"/>
          <w:szCs w:val="24"/>
        </w:rPr>
        <w:endnoteReference w:id="38"/>
      </w:r>
      <w:r w:rsidRPr="0052783C">
        <w:rPr>
          <w:rFonts w:ascii="Garamond" w:hAnsi="Garamond"/>
          <w:sz w:val="24"/>
          <w:szCs w:val="24"/>
          <w:lang w:val="en-US"/>
        </w:rPr>
        <w:t xml:space="preserve"> One of them, a Dutch-built East Indiaman, made of oak from western Germany with a copper-plated stern and rudder, has been interpreted as </w:t>
      </w:r>
      <w:r w:rsidRPr="0052783C">
        <w:rPr>
          <w:rFonts w:ascii="Garamond" w:hAnsi="Garamond"/>
          <w:i/>
          <w:sz w:val="24"/>
          <w:szCs w:val="24"/>
          <w:lang w:val="en-US"/>
        </w:rPr>
        <w:t>The Elephant</w:t>
      </w:r>
      <w:r w:rsidRPr="0052783C">
        <w:rPr>
          <w:rFonts w:ascii="Garamond" w:hAnsi="Garamond"/>
          <w:sz w:val="24"/>
          <w:szCs w:val="24"/>
          <w:lang w:val="en-US"/>
        </w:rPr>
        <w:t>. On board the ship shells of a coconut were found as a physical token of the Indian Ocean.</w:t>
      </w:r>
      <w:r w:rsidRPr="0052783C">
        <w:rPr>
          <w:rStyle w:val="Slutkommentarsreferens"/>
          <w:rFonts w:ascii="Garamond" w:hAnsi="Garamond"/>
          <w:sz w:val="24"/>
          <w:szCs w:val="24"/>
        </w:rPr>
        <w:endnoteReference w:id="39"/>
      </w:r>
      <w:r w:rsidRPr="0052783C">
        <w:rPr>
          <w:rFonts w:ascii="Garamond" w:hAnsi="Garamond"/>
          <w:sz w:val="24"/>
          <w:szCs w:val="24"/>
          <w:lang w:val="en-US"/>
        </w:rPr>
        <w:t xml:space="preserve"> The single ship, probably </w:t>
      </w:r>
      <w:proofErr w:type="spellStart"/>
      <w:r w:rsidRPr="0052783C">
        <w:rPr>
          <w:rFonts w:ascii="Garamond" w:hAnsi="Garamond"/>
          <w:i/>
          <w:sz w:val="24"/>
          <w:szCs w:val="24"/>
          <w:lang w:val="en-US"/>
        </w:rPr>
        <w:t>Melkepigen</w:t>
      </w:r>
      <w:proofErr w:type="spellEnd"/>
      <w:r w:rsidRPr="0052783C">
        <w:rPr>
          <w:rFonts w:ascii="Garamond" w:hAnsi="Garamond"/>
          <w:sz w:val="24"/>
          <w:szCs w:val="24"/>
          <w:lang w:val="en-US"/>
        </w:rPr>
        <w:t xml:space="preserve"> – </w:t>
      </w:r>
      <w:r w:rsidRPr="0052783C">
        <w:rPr>
          <w:rFonts w:ascii="Garamond" w:hAnsi="Garamond"/>
          <w:i/>
          <w:sz w:val="24"/>
          <w:szCs w:val="24"/>
          <w:lang w:val="en-US"/>
        </w:rPr>
        <w:t>The Elephant</w:t>
      </w:r>
      <w:r w:rsidRPr="0052783C">
        <w:rPr>
          <w:rFonts w:ascii="Garamond" w:hAnsi="Garamond"/>
          <w:sz w:val="24"/>
          <w:szCs w:val="24"/>
          <w:lang w:val="en-US"/>
        </w:rPr>
        <w:t xml:space="preserve">, thus comprises a lifespan including western Germany, the Netherlands, Sweden, Denmark, the South Atlantic, Indian Ocean, and the Gulf of Bengal, and finally ending up as a foundation of the urban expansion of early modern Copenhagen. </w:t>
      </w:r>
      <w:r w:rsidR="00320771">
        <w:rPr>
          <w:rFonts w:ascii="Garamond" w:hAnsi="Garamond"/>
          <w:sz w:val="24"/>
          <w:szCs w:val="24"/>
          <w:lang w:val="en-US"/>
        </w:rPr>
        <w:t xml:space="preserve"> When the ship was sunk </w:t>
      </w:r>
      <w:proofErr w:type="spellStart"/>
      <w:r w:rsidR="00320771">
        <w:rPr>
          <w:rFonts w:ascii="Garamond" w:hAnsi="Garamond"/>
          <w:sz w:val="24"/>
          <w:szCs w:val="24"/>
          <w:lang w:val="en-US"/>
        </w:rPr>
        <w:t>Ove</w:t>
      </w:r>
      <w:proofErr w:type="spellEnd"/>
      <w:r w:rsidR="00320771">
        <w:rPr>
          <w:rFonts w:ascii="Garamond" w:hAnsi="Garamond"/>
          <w:sz w:val="24"/>
          <w:szCs w:val="24"/>
          <w:lang w:val="en-US"/>
        </w:rPr>
        <w:t xml:space="preserve"> </w:t>
      </w:r>
      <w:proofErr w:type="spellStart"/>
      <w:r w:rsidR="00320771">
        <w:rPr>
          <w:rFonts w:ascii="Garamond" w:hAnsi="Garamond"/>
          <w:sz w:val="24"/>
          <w:szCs w:val="24"/>
          <w:lang w:val="en-US"/>
        </w:rPr>
        <w:t>Gjedde</w:t>
      </w:r>
      <w:proofErr w:type="spellEnd"/>
      <w:r w:rsidR="00320771">
        <w:rPr>
          <w:rFonts w:ascii="Garamond" w:hAnsi="Garamond"/>
          <w:sz w:val="24"/>
          <w:szCs w:val="24"/>
          <w:lang w:val="en-US"/>
        </w:rPr>
        <w:t xml:space="preserve"> had however moved on, but this time to Norway.</w:t>
      </w:r>
    </w:p>
    <w:p w:rsidR="00ED79A7" w:rsidRPr="003F2E90" w:rsidRDefault="003F2E90" w:rsidP="003F2E90">
      <w:pPr>
        <w:spacing w:after="0" w:line="360" w:lineRule="auto"/>
        <w:rPr>
          <w:rFonts w:ascii="Garamond" w:hAnsi="Garamond"/>
          <w:i/>
          <w:sz w:val="24"/>
          <w:szCs w:val="24"/>
          <w:lang w:val="en-US"/>
        </w:rPr>
      </w:pPr>
      <w:r w:rsidRPr="003F2E90">
        <w:rPr>
          <w:rFonts w:ascii="Garamond" w:hAnsi="Garamond"/>
          <w:i/>
          <w:sz w:val="24"/>
          <w:szCs w:val="24"/>
          <w:lang w:val="en-US"/>
        </w:rPr>
        <w:t>The Danish Cerro Rico – Kongsberg in Norway</w:t>
      </w:r>
    </w:p>
    <w:p w:rsidR="00ED79A7" w:rsidRPr="0052783C" w:rsidRDefault="00ED79A7" w:rsidP="003F2E90">
      <w:pPr>
        <w:spacing w:after="0" w:line="360" w:lineRule="auto"/>
        <w:rPr>
          <w:rFonts w:ascii="Garamond" w:hAnsi="Garamond"/>
          <w:sz w:val="24"/>
          <w:szCs w:val="24"/>
          <w:lang w:val="en-US"/>
        </w:rPr>
      </w:pPr>
      <w:r w:rsidRPr="0052783C">
        <w:rPr>
          <w:rFonts w:ascii="Garamond" w:hAnsi="Garamond"/>
          <w:sz w:val="24"/>
          <w:szCs w:val="24"/>
          <w:lang w:val="en-US"/>
        </w:rPr>
        <w:t xml:space="preserve">Silver was a pivotal means of commerce, as already shown by the Danish trade in the Gulf of Bengal. In viewing the silver as an </w:t>
      </w:r>
      <w:proofErr w:type="spellStart"/>
      <w:r w:rsidRPr="0052783C">
        <w:rPr>
          <w:rFonts w:ascii="Garamond" w:hAnsi="Garamond"/>
          <w:sz w:val="24"/>
          <w:szCs w:val="24"/>
          <w:lang w:val="en-US"/>
        </w:rPr>
        <w:t>actant</w:t>
      </w:r>
      <w:proofErr w:type="spellEnd"/>
      <w:r w:rsidRPr="0052783C">
        <w:rPr>
          <w:rFonts w:ascii="Garamond" w:hAnsi="Garamond"/>
          <w:sz w:val="24"/>
          <w:szCs w:val="24"/>
          <w:lang w:val="en-US"/>
        </w:rPr>
        <w:t xml:space="preserve"> – a subject-like actor that formed markets, people and trade networks – it is easier to understand the early modern trade in silver and travel for silver through this perspective. In the seventeenth century aristocrats and royals dressed in silver, slept in silver and acted through silver.</w:t>
      </w:r>
      <w:r w:rsidRPr="0052783C">
        <w:rPr>
          <w:rStyle w:val="Slutkommentarsreferens"/>
          <w:rFonts w:ascii="Garamond" w:hAnsi="Garamond"/>
          <w:sz w:val="24"/>
          <w:szCs w:val="24"/>
        </w:rPr>
        <w:endnoteReference w:id="40"/>
      </w:r>
      <w:r w:rsidRPr="0052783C">
        <w:rPr>
          <w:rFonts w:ascii="Garamond" w:hAnsi="Garamond"/>
          <w:sz w:val="24"/>
          <w:szCs w:val="24"/>
          <w:lang w:val="en-US"/>
        </w:rPr>
        <w:t xml:space="preserve"> The silver finds in America made Spain a tremendous fortune, accelerated globalization by connecting America and Asia, and created envy among the other colonial powers-to-be.</w:t>
      </w:r>
      <w:r w:rsidRPr="0052783C">
        <w:rPr>
          <w:rStyle w:val="Slutkommentarsreferens"/>
          <w:rFonts w:ascii="Garamond" w:hAnsi="Garamond"/>
          <w:sz w:val="24"/>
          <w:szCs w:val="24"/>
        </w:rPr>
        <w:endnoteReference w:id="41"/>
      </w:r>
      <w:r w:rsidRPr="0052783C">
        <w:rPr>
          <w:rFonts w:ascii="Garamond" w:hAnsi="Garamond"/>
          <w:sz w:val="24"/>
          <w:szCs w:val="24"/>
          <w:lang w:val="en-US"/>
        </w:rPr>
        <w:t xml:space="preserve"> Thus silver had people, social groups and organizations act, and the metal was included in the perception of divine providence and individual success. </w:t>
      </w:r>
    </w:p>
    <w:p w:rsidR="00ED79A7" w:rsidRPr="0052783C" w:rsidRDefault="00ED79A7" w:rsidP="003F2E90">
      <w:pPr>
        <w:spacing w:after="0" w:line="360" w:lineRule="auto"/>
        <w:ind w:firstLine="720"/>
        <w:rPr>
          <w:rFonts w:ascii="Garamond" w:hAnsi="Garamond"/>
          <w:sz w:val="24"/>
          <w:szCs w:val="24"/>
          <w:lang w:val="en-US"/>
        </w:rPr>
      </w:pPr>
      <w:r w:rsidRPr="0052783C">
        <w:rPr>
          <w:rFonts w:ascii="Garamond" w:hAnsi="Garamond"/>
          <w:sz w:val="24"/>
          <w:szCs w:val="24"/>
          <w:lang w:val="en-US"/>
        </w:rPr>
        <w:t>On 16 March 1624, the whole of Denmark/Norway celebrated a mass of thanksgiving dedicated to the finding of silver in Norway.</w:t>
      </w:r>
      <w:r w:rsidRPr="0052783C">
        <w:rPr>
          <w:rStyle w:val="Slutkommentarsreferens"/>
          <w:rFonts w:ascii="Garamond" w:hAnsi="Garamond"/>
          <w:sz w:val="24"/>
          <w:szCs w:val="24"/>
        </w:rPr>
        <w:endnoteReference w:id="42"/>
      </w:r>
      <w:r w:rsidRPr="0052783C">
        <w:rPr>
          <w:rFonts w:ascii="Garamond" w:hAnsi="Garamond"/>
          <w:sz w:val="24"/>
          <w:szCs w:val="24"/>
          <w:lang w:val="en-US"/>
        </w:rPr>
        <w:t xml:space="preserve"> Later that spring King Christian IV visited the silver mines in southern Norway and as a sign of its importance several of the sites were dignified with monuments and rock-carvings commemorating the King’s visit.</w:t>
      </w:r>
      <w:r w:rsidRPr="0052783C">
        <w:rPr>
          <w:rStyle w:val="Slutkommentarsreferens"/>
          <w:rFonts w:ascii="Garamond" w:hAnsi="Garamond"/>
          <w:sz w:val="24"/>
          <w:szCs w:val="24"/>
        </w:rPr>
        <w:endnoteReference w:id="43"/>
      </w:r>
      <w:r w:rsidRPr="0052783C">
        <w:rPr>
          <w:rFonts w:ascii="Garamond" w:hAnsi="Garamond"/>
          <w:sz w:val="24"/>
          <w:szCs w:val="24"/>
          <w:lang w:val="en-US"/>
        </w:rPr>
        <w:t xml:space="preserve"> Already in 1631 the </w:t>
      </w:r>
      <w:proofErr w:type="spellStart"/>
      <w:r w:rsidRPr="0052783C">
        <w:rPr>
          <w:rFonts w:ascii="Garamond" w:hAnsi="Garamond"/>
          <w:sz w:val="24"/>
          <w:szCs w:val="24"/>
          <w:lang w:val="en-US"/>
        </w:rPr>
        <w:t>Berghauptmann</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Nortmann</w:t>
      </w:r>
      <w:proofErr w:type="spellEnd"/>
      <w:r w:rsidRPr="0052783C">
        <w:rPr>
          <w:rFonts w:ascii="Garamond" w:hAnsi="Garamond"/>
          <w:sz w:val="24"/>
          <w:szCs w:val="24"/>
          <w:lang w:val="en-US"/>
        </w:rPr>
        <w:t xml:space="preserve"> wrote a history of the mountain and the silver production.</w:t>
      </w:r>
      <w:r w:rsidRPr="0052783C">
        <w:rPr>
          <w:rStyle w:val="Slutkommentarsreferens"/>
          <w:rFonts w:ascii="Garamond" w:hAnsi="Garamond"/>
          <w:sz w:val="24"/>
          <w:szCs w:val="24"/>
        </w:rPr>
        <w:endnoteReference w:id="44"/>
      </w:r>
      <w:r w:rsidRPr="0052783C">
        <w:rPr>
          <w:rFonts w:ascii="Garamond" w:hAnsi="Garamond"/>
          <w:sz w:val="24"/>
          <w:szCs w:val="24"/>
          <w:lang w:val="en-US"/>
        </w:rPr>
        <w:t xml:space="preserve"> The find was thus deemed to be of the utmost importance – it had people act and move – a vast majority of the people in leading positions as well as the skilled workers had come from other regions – Denmark, southern Germany and Bohemia – from 1623 onwards.</w:t>
      </w:r>
      <w:r w:rsidRPr="0052783C">
        <w:rPr>
          <w:rStyle w:val="Slutkommentarsreferens"/>
          <w:rFonts w:ascii="Garamond" w:hAnsi="Garamond"/>
          <w:sz w:val="24"/>
          <w:szCs w:val="24"/>
        </w:rPr>
        <w:endnoteReference w:id="45"/>
      </w:r>
      <w:r w:rsidRPr="0052783C">
        <w:rPr>
          <w:rFonts w:ascii="Garamond" w:hAnsi="Garamond"/>
          <w:sz w:val="24"/>
          <w:szCs w:val="24"/>
          <w:lang w:val="en-US"/>
        </w:rPr>
        <w:t xml:space="preserve"> </w:t>
      </w:r>
    </w:p>
    <w:p w:rsidR="00ED79A7" w:rsidRPr="0052783C" w:rsidRDefault="00ED79A7" w:rsidP="00ED79A7">
      <w:pPr>
        <w:pStyle w:val="Newpara"/>
        <w:rPr>
          <w:rFonts w:ascii="Garamond" w:hAnsi="Garamond"/>
          <w:i/>
        </w:rPr>
      </w:pPr>
      <w:r w:rsidRPr="0052783C">
        <w:rPr>
          <w:rFonts w:ascii="Garamond" w:hAnsi="Garamond"/>
        </w:rPr>
        <w:t xml:space="preserve">Kongsberg silver mines and works was run by the Crown between autumn 1623 and spring 1627 when it was turned into the hands of a newly founded company – the organizational form of the day. The first overseer of the mines and the town was the former vice president of DEIC, Adolph Frederik </w:t>
      </w:r>
      <w:proofErr w:type="spellStart"/>
      <w:r w:rsidRPr="0052783C">
        <w:rPr>
          <w:rFonts w:ascii="Garamond" w:hAnsi="Garamond"/>
        </w:rPr>
        <w:t>Grabou</w:t>
      </w:r>
      <w:proofErr w:type="spellEnd"/>
      <w:r w:rsidRPr="0052783C">
        <w:rPr>
          <w:rFonts w:ascii="Garamond" w:hAnsi="Garamond"/>
        </w:rPr>
        <w:t>.</w:t>
      </w:r>
      <w:r w:rsidRPr="0052783C">
        <w:rPr>
          <w:rStyle w:val="Slutkommentarsreferens"/>
          <w:rFonts w:ascii="Garamond" w:hAnsi="Garamond"/>
        </w:rPr>
        <w:endnoteReference w:id="46"/>
      </w:r>
      <w:r w:rsidRPr="0052783C">
        <w:rPr>
          <w:rFonts w:ascii="Garamond" w:hAnsi="Garamond"/>
        </w:rPr>
        <w:t xml:space="preserve"> The assets were divided into 32 shares, of which the King had four, the governor of Norway, Jens </w:t>
      </w:r>
      <w:proofErr w:type="spellStart"/>
      <w:r w:rsidRPr="0052783C">
        <w:rPr>
          <w:rFonts w:ascii="Garamond" w:hAnsi="Garamond"/>
        </w:rPr>
        <w:t>Juel</w:t>
      </w:r>
      <w:proofErr w:type="spellEnd"/>
      <w:r w:rsidRPr="0052783C">
        <w:rPr>
          <w:rFonts w:ascii="Garamond" w:hAnsi="Garamond"/>
        </w:rPr>
        <w:t xml:space="preserve"> eight, and </w:t>
      </w:r>
      <w:proofErr w:type="spellStart"/>
      <w:r w:rsidRPr="0052783C">
        <w:rPr>
          <w:rFonts w:ascii="Garamond" w:hAnsi="Garamond"/>
        </w:rPr>
        <w:t>Ove</w:t>
      </w:r>
      <w:proofErr w:type="spellEnd"/>
      <w:r w:rsidRPr="0052783C">
        <w:rPr>
          <w:rFonts w:ascii="Garamond" w:hAnsi="Garamond"/>
        </w:rPr>
        <w:t xml:space="preserve"> </w:t>
      </w:r>
      <w:proofErr w:type="spellStart"/>
      <w:r w:rsidRPr="0052783C">
        <w:rPr>
          <w:rFonts w:ascii="Garamond" w:hAnsi="Garamond"/>
        </w:rPr>
        <w:t>Gjedde</w:t>
      </w:r>
      <w:proofErr w:type="spellEnd"/>
      <w:r w:rsidRPr="0052783C">
        <w:rPr>
          <w:rFonts w:ascii="Garamond" w:hAnsi="Garamond"/>
        </w:rPr>
        <w:t xml:space="preserve"> eight. The list of participants (shareholders) consists solely of Danish aristocrats, civil servants and traders – foreign capital was kept out.</w:t>
      </w:r>
      <w:r w:rsidRPr="0052783C">
        <w:rPr>
          <w:rStyle w:val="Slutkommentarsreferens"/>
          <w:rFonts w:ascii="Garamond" w:hAnsi="Garamond"/>
        </w:rPr>
        <w:endnoteReference w:id="47"/>
      </w:r>
      <w:r w:rsidRPr="0052783C">
        <w:rPr>
          <w:rFonts w:ascii="Garamond" w:hAnsi="Garamond"/>
        </w:rPr>
        <w:t xml:space="preserve"> In the new company </w:t>
      </w:r>
      <w:proofErr w:type="spellStart"/>
      <w:r w:rsidRPr="0052783C">
        <w:rPr>
          <w:rFonts w:ascii="Garamond" w:hAnsi="Garamond"/>
        </w:rPr>
        <w:t>Gjedde</w:t>
      </w:r>
      <w:proofErr w:type="spellEnd"/>
      <w:r w:rsidRPr="0052783C">
        <w:rPr>
          <w:rFonts w:ascii="Garamond" w:hAnsi="Garamond"/>
        </w:rPr>
        <w:t xml:space="preserve"> was appointed </w:t>
      </w:r>
      <w:proofErr w:type="spellStart"/>
      <w:r w:rsidRPr="0052783C">
        <w:rPr>
          <w:rFonts w:ascii="Garamond" w:hAnsi="Garamond"/>
        </w:rPr>
        <w:t>Berghauptmann</w:t>
      </w:r>
      <w:proofErr w:type="spellEnd"/>
      <w:r w:rsidRPr="0052783C">
        <w:rPr>
          <w:rFonts w:ascii="Garamond" w:hAnsi="Garamond"/>
        </w:rPr>
        <w:t xml:space="preserve">. The pressure on the </w:t>
      </w:r>
      <w:proofErr w:type="spellStart"/>
      <w:r w:rsidRPr="0052783C">
        <w:rPr>
          <w:rFonts w:ascii="Garamond" w:hAnsi="Garamond"/>
        </w:rPr>
        <w:t>Numedal</w:t>
      </w:r>
      <w:proofErr w:type="spellEnd"/>
      <w:r w:rsidRPr="0052783C">
        <w:rPr>
          <w:rFonts w:ascii="Garamond" w:hAnsi="Garamond"/>
        </w:rPr>
        <w:t xml:space="preserve"> peasants was also augmented. </w:t>
      </w:r>
      <w:proofErr w:type="spellStart"/>
      <w:r w:rsidRPr="0052783C">
        <w:rPr>
          <w:rFonts w:ascii="Garamond" w:hAnsi="Garamond"/>
        </w:rPr>
        <w:t>Gjedde’s</w:t>
      </w:r>
      <w:proofErr w:type="spellEnd"/>
      <w:r w:rsidRPr="0052783C">
        <w:rPr>
          <w:rFonts w:ascii="Garamond" w:hAnsi="Garamond"/>
        </w:rPr>
        <w:t xml:space="preserve"> brother-in-law, Christopher </w:t>
      </w:r>
      <w:proofErr w:type="spellStart"/>
      <w:r w:rsidRPr="0052783C">
        <w:rPr>
          <w:rFonts w:ascii="Garamond" w:hAnsi="Garamond"/>
        </w:rPr>
        <w:t>Urne</w:t>
      </w:r>
      <w:proofErr w:type="spellEnd"/>
      <w:r w:rsidRPr="0052783C">
        <w:rPr>
          <w:rFonts w:ascii="Garamond" w:hAnsi="Garamond"/>
        </w:rPr>
        <w:t xml:space="preserve">, was appointed governor of Norway in 1629, a development that, at least indirectly, strengthened </w:t>
      </w:r>
      <w:proofErr w:type="spellStart"/>
      <w:r w:rsidRPr="0052783C">
        <w:rPr>
          <w:rFonts w:ascii="Garamond" w:hAnsi="Garamond"/>
        </w:rPr>
        <w:lastRenderedPageBreak/>
        <w:t>Gjedde’s</w:t>
      </w:r>
      <w:proofErr w:type="spellEnd"/>
      <w:r w:rsidRPr="0052783C">
        <w:rPr>
          <w:rFonts w:ascii="Garamond" w:hAnsi="Garamond"/>
        </w:rPr>
        <w:t xml:space="preserve"> position in the country. In 1631 </w:t>
      </w:r>
      <w:proofErr w:type="spellStart"/>
      <w:r w:rsidRPr="0052783C">
        <w:rPr>
          <w:rFonts w:ascii="Garamond" w:hAnsi="Garamond"/>
        </w:rPr>
        <w:t>Gjedde</w:t>
      </w:r>
      <w:proofErr w:type="spellEnd"/>
      <w:r w:rsidRPr="0052783C">
        <w:rPr>
          <w:rFonts w:ascii="Garamond" w:hAnsi="Garamond"/>
        </w:rPr>
        <w:t xml:space="preserve"> was appointed director, which meant that the industry more or less was under his total control.</w:t>
      </w:r>
      <w:r w:rsidRPr="0052783C">
        <w:rPr>
          <w:rStyle w:val="Slutkommentarsreferens"/>
          <w:rFonts w:ascii="Garamond" w:hAnsi="Garamond"/>
        </w:rPr>
        <w:endnoteReference w:id="48"/>
      </w:r>
      <w:r w:rsidRPr="0052783C">
        <w:rPr>
          <w:rFonts w:ascii="Garamond" w:hAnsi="Garamond"/>
        </w:rPr>
        <w:t xml:space="preserve"> </w:t>
      </w:r>
      <w:proofErr w:type="spellStart"/>
      <w:r w:rsidRPr="0052783C">
        <w:rPr>
          <w:rFonts w:ascii="Garamond" w:hAnsi="Garamond"/>
        </w:rPr>
        <w:t>Gjedde</w:t>
      </w:r>
      <w:proofErr w:type="spellEnd"/>
      <w:r w:rsidRPr="0052783C">
        <w:rPr>
          <w:rFonts w:ascii="Garamond" w:hAnsi="Garamond"/>
        </w:rPr>
        <w:t xml:space="preserve"> was also appointed colonel of the </w:t>
      </w:r>
      <w:proofErr w:type="spellStart"/>
      <w:r w:rsidRPr="0052783C">
        <w:rPr>
          <w:rFonts w:ascii="Garamond" w:hAnsi="Garamond"/>
        </w:rPr>
        <w:t>Akershus</w:t>
      </w:r>
      <w:proofErr w:type="spellEnd"/>
      <w:r w:rsidRPr="0052783C">
        <w:rPr>
          <w:rFonts w:ascii="Garamond" w:hAnsi="Garamond"/>
        </w:rPr>
        <w:t xml:space="preserve"> regiment, further strengthening his position in Norway.</w:t>
      </w:r>
      <w:r w:rsidRPr="0052783C">
        <w:rPr>
          <w:rStyle w:val="Slutkommentarsreferens"/>
          <w:rFonts w:ascii="Garamond" w:hAnsi="Garamond"/>
        </w:rPr>
        <w:endnoteReference w:id="49"/>
      </w:r>
      <w:r w:rsidRPr="0052783C">
        <w:rPr>
          <w:rFonts w:ascii="Garamond" w:hAnsi="Garamond"/>
        </w:rPr>
        <w:t xml:space="preserve"> From 1635 </w:t>
      </w:r>
      <w:proofErr w:type="spellStart"/>
      <w:r w:rsidRPr="0052783C">
        <w:rPr>
          <w:rFonts w:ascii="Garamond" w:hAnsi="Garamond"/>
        </w:rPr>
        <w:t>Gjedde</w:t>
      </w:r>
      <w:proofErr w:type="spellEnd"/>
      <w:r w:rsidRPr="0052783C">
        <w:rPr>
          <w:rFonts w:ascii="Garamond" w:hAnsi="Garamond"/>
        </w:rPr>
        <w:t xml:space="preserve"> owned shares in the </w:t>
      </w:r>
      <w:proofErr w:type="spellStart"/>
      <w:r w:rsidRPr="0052783C">
        <w:rPr>
          <w:rFonts w:ascii="Garamond" w:hAnsi="Garamond"/>
        </w:rPr>
        <w:t>Fossum</w:t>
      </w:r>
      <w:proofErr w:type="spellEnd"/>
      <w:r w:rsidRPr="0052783C">
        <w:rPr>
          <w:rFonts w:ascii="Garamond" w:hAnsi="Garamond"/>
        </w:rPr>
        <w:t xml:space="preserve"> ironworks, and from 1642 he took control over the in</w:t>
      </w:r>
      <w:r w:rsidR="009E5791">
        <w:rPr>
          <w:rFonts w:ascii="Garamond" w:hAnsi="Garamond"/>
        </w:rPr>
        <w:t>dustry together with his son</w:t>
      </w:r>
      <w:r w:rsidRPr="0052783C">
        <w:rPr>
          <w:rFonts w:ascii="Garamond" w:hAnsi="Garamond"/>
        </w:rPr>
        <w:t xml:space="preserve">-in-law </w:t>
      </w:r>
      <w:proofErr w:type="spellStart"/>
      <w:r w:rsidRPr="0052783C">
        <w:rPr>
          <w:rFonts w:ascii="Garamond" w:hAnsi="Garamond"/>
        </w:rPr>
        <w:t>Preben</w:t>
      </w:r>
      <w:proofErr w:type="spellEnd"/>
      <w:r w:rsidRPr="0052783C">
        <w:rPr>
          <w:rFonts w:ascii="Garamond" w:hAnsi="Garamond"/>
        </w:rPr>
        <w:t xml:space="preserve"> von </w:t>
      </w:r>
      <w:proofErr w:type="spellStart"/>
      <w:r w:rsidRPr="0052783C">
        <w:rPr>
          <w:rFonts w:ascii="Garamond" w:hAnsi="Garamond"/>
        </w:rPr>
        <w:t>Ahnen</w:t>
      </w:r>
      <w:proofErr w:type="spellEnd"/>
      <w:r w:rsidRPr="0052783C">
        <w:rPr>
          <w:rFonts w:ascii="Garamond" w:hAnsi="Garamond"/>
        </w:rPr>
        <w:t xml:space="preserve">. This found material manifestation in the production of iron stoves, where </w:t>
      </w:r>
      <w:proofErr w:type="spellStart"/>
      <w:r w:rsidRPr="0052783C">
        <w:rPr>
          <w:rFonts w:ascii="Garamond" w:hAnsi="Garamond"/>
        </w:rPr>
        <w:t>Gjedde</w:t>
      </w:r>
      <w:proofErr w:type="spellEnd"/>
      <w:r w:rsidRPr="0052783C">
        <w:rPr>
          <w:rFonts w:ascii="Garamond" w:hAnsi="Garamond"/>
        </w:rPr>
        <w:t xml:space="preserve"> has his portrait along with his </w:t>
      </w:r>
      <w:r w:rsidR="009E5791">
        <w:rPr>
          <w:rFonts w:ascii="Garamond" w:hAnsi="Garamond"/>
        </w:rPr>
        <w:t>wife’s reproduced on the sides.</w:t>
      </w:r>
    </w:p>
    <w:p w:rsidR="00ED79A7" w:rsidRPr="0052783C" w:rsidRDefault="00ED79A7" w:rsidP="003F2E90">
      <w:pPr>
        <w:spacing w:after="0" w:line="360" w:lineRule="auto"/>
        <w:ind w:firstLine="720"/>
        <w:rPr>
          <w:rFonts w:ascii="Garamond" w:hAnsi="Garamond"/>
          <w:sz w:val="24"/>
          <w:szCs w:val="24"/>
          <w:lang w:val="en-US"/>
        </w:rPr>
      </w:pPr>
      <w:r w:rsidRPr="0052783C">
        <w:rPr>
          <w:rFonts w:ascii="Garamond" w:hAnsi="Garamond"/>
          <w:sz w:val="24"/>
          <w:szCs w:val="24"/>
          <w:lang w:val="en-US"/>
        </w:rPr>
        <w:t>The cast iron stove and the tiled stove were material culture of rapidly growing importance in the time of the Little Ice Age.</w:t>
      </w:r>
      <w:r w:rsidRPr="0052783C">
        <w:rPr>
          <w:rStyle w:val="Slutkommentarsreferens"/>
          <w:rFonts w:ascii="Garamond" w:hAnsi="Garamond"/>
          <w:sz w:val="24"/>
          <w:szCs w:val="24"/>
        </w:rPr>
        <w:endnoteReference w:id="50"/>
      </w:r>
      <w:r w:rsidRPr="0052783C">
        <w:rPr>
          <w:rFonts w:ascii="Garamond" w:hAnsi="Garamond"/>
          <w:sz w:val="24"/>
          <w:szCs w:val="24"/>
          <w:lang w:val="en-US"/>
        </w:rPr>
        <w:t xml:space="preserve"> Heating and the indoor climate were of growing concern for the people of the northern hemisphere. The cast iron stoves with </w:t>
      </w:r>
      <w:proofErr w:type="spellStart"/>
      <w:r w:rsidRPr="0052783C">
        <w:rPr>
          <w:rFonts w:ascii="Garamond" w:hAnsi="Garamond"/>
          <w:sz w:val="24"/>
          <w:szCs w:val="24"/>
          <w:lang w:val="en-US"/>
        </w:rPr>
        <w:t>Gjedde’s</w:t>
      </w:r>
      <w:proofErr w:type="spellEnd"/>
      <w:r w:rsidRPr="0052783C">
        <w:rPr>
          <w:rFonts w:ascii="Garamond" w:hAnsi="Garamond"/>
          <w:sz w:val="24"/>
          <w:szCs w:val="24"/>
          <w:lang w:val="en-US"/>
        </w:rPr>
        <w:t xml:space="preserve"> portrait were also a materialization of </w:t>
      </w:r>
      <w:proofErr w:type="spellStart"/>
      <w:r w:rsidRPr="0052783C">
        <w:rPr>
          <w:rFonts w:ascii="Garamond" w:hAnsi="Garamond"/>
          <w:sz w:val="24"/>
          <w:szCs w:val="24"/>
          <w:lang w:val="en-US"/>
        </w:rPr>
        <w:t>Gjedde’s</w:t>
      </w:r>
      <w:proofErr w:type="spellEnd"/>
      <w:r w:rsidRPr="0052783C">
        <w:rPr>
          <w:rFonts w:ascii="Garamond" w:hAnsi="Garamond"/>
          <w:sz w:val="24"/>
          <w:szCs w:val="24"/>
          <w:lang w:val="en-US"/>
        </w:rPr>
        <w:t xml:space="preserve"> habitus, where his self-esteem could be present in people’s homes far away from </w:t>
      </w:r>
      <w:proofErr w:type="spellStart"/>
      <w:r w:rsidRPr="0052783C">
        <w:rPr>
          <w:rFonts w:ascii="Garamond" w:hAnsi="Garamond"/>
          <w:sz w:val="24"/>
          <w:szCs w:val="24"/>
          <w:lang w:val="en-US"/>
        </w:rPr>
        <w:t>Tislegård</w:t>
      </w:r>
      <w:proofErr w:type="spellEnd"/>
      <w:r w:rsidRPr="0052783C">
        <w:rPr>
          <w:rFonts w:ascii="Garamond" w:hAnsi="Garamond"/>
          <w:sz w:val="24"/>
          <w:szCs w:val="24"/>
          <w:lang w:val="en-US"/>
        </w:rPr>
        <w:t xml:space="preserve"> in Kongsberg, </w:t>
      </w:r>
      <w:proofErr w:type="spellStart"/>
      <w:r w:rsidRPr="0052783C">
        <w:rPr>
          <w:rFonts w:ascii="Garamond" w:hAnsi="Garamond"/>
          <w:sz w:val="24"/>
          <w:szCs w:val="24"/>
          <w:lang w:val="en-US"/>
        </w:rPr>
        <w:t>Tommarp</w:t>
      </w:r>
      <w:proofErr w:type="spellEnd"/>
      <w:r w:rsidRPr="0052783C">
        <w:rPr>
          <w:rFonts w:ascii="Garamond" w:hAnsi="Garamond"/>
          <w:sz w:val="24"/>
          <w:szCs w:val="24"/>
          <w:lang w:val="en-US"/>
        </w:rPr>
        <w:t xml:space="preserve"> or his manor in Copenhagen.</w:t>
      </w:r>
    </w:p>
    <w:p w:rsidR="00ED79A7" w:rsidRPr="0052783C" w:rsidRDefault="00ED79A7" w:rsidP="003F2E90">
      <w:pPr>
        <w:spacing w:after="0" w:line="360" w:lineRule="auto"/>
        <w:ind w:firstLine="720"/>
        <w:rPr>
          <w:rFonts w:ascii="Garamond" w:hAnsi="Garamond"/>
          <w:sz w:val="24"/>
          <w:szCs w:val="24"/>
          <w:lang w:val="en-US"/>
        </w:rPr>
      </w:pPr>
      <w:r w:rsidRPr="0052783C">
        <w:rPr>
          <w:rFonts w:ascii="Garamond" w:hAnsi="Garamond"/>
          <w:sz w:val="24"/>
          <w:szCs w:val="24"/>
          <w:lang w:val="en-US"/>
        </w:rPr>
        <w:t>In just a couple of years in the late 1620s and early 1630s, the number of mines increased from seven to 22 and a great deal of prospecting was taking place in the mountains. In 1624 there were four mines at work, and many of the dams, canals, water wheels, roads and farms that still can be seen in and around Kongsberg were created during this dynamic period. The town of Kongsberg was also founded, with a royal manor, a church, a parsonage, a school, an administrative headquarters and a market place for trade within the mining community. In 1646 the town consisted of 245 dwellings or major buildings, of which around one third were owned by the company.</w:t>
      </w:r>
      <w:r w:rsidRPr="0052783C">
        <w:rPr>
          <w:rStyle w:val="Slutkommentarsreferens"/>
          <w:rFonts w:ascii="Garamond" w:hAnsi="Garamond"/>
          <w:sz w:val="24"/>
          <w:szCs w:val="24"/>
        </w:rPr>
        <w:endnoteReference w:id="51"/>
      </w:r>
      <w:r w:rsidRPr="0052783C">
        <w:rPr>
          <w:rFonts w:ascii="Garamond" w:hAnsi="Garamond"/>
          <w:sz w:val="24"/>
          <w:szCs w:val="24"/>
          <w:lang w:val="en-US"/>
        </w:rPr>
        <w:t xml:space="preserve"> Some of the less successful mines were shut in the late 1620s and 1630s, but the 1630s still witnessed a substantial expansion. Ironically, lack of cash meant recurrent problems for the industry. Parallel to the expansion of mines, furnaces, stamp mills, and so on, the landscape around Kongsberg changed rapidly. Dams and canals, engineered with perfection, were constructed high up in the mountains to provide the industry with power.</w:t>
      </w:r>
      <w:r w:rsidRPr="0052783C">
        <w:rPr>
          <w:rStyle w:val="Slutkommentarsreferens"/>
          <w:rFonts w:ascii="Garamond" w:hAnsi="Garamond"/>
          <w:sz w:val="24"/>
          <w:szCs w:val="24"/>
        </w:rPr>
        <w:endnoteReference w:id="52"/>
      </w:r>
      <w:r w:rsidRPr="0052783C">
        <w:rPr>
          <w:rFonts w:ascii="Garamond" w:hAnsi="Garamond"/>
          <w:sz w:val="24"/>
          <w:szCs w:val="24"/>
          <w:lang w:val="en-US"/>
        </w:rPr>
        <w:t xml:space="preserve"> Along with this rapid spatial expansion – a multipurpose landscape used for thousands of years was turned overnight into a mono-cultural industrial space – farming expanded on the outskirts of the mining area. Stephen </w:t>
      </w:r>
      <w:proofErr w:type="spellStart"/>
      <w:r w:rsidRPr="0052783C">
        <w:rPr>
          <w:rFonts w:ascii="Garamond" w:hAnsi="Garamond"/>
          <w:sz w:val="24"/>
          <w:szCs w:val="24"/>
          <w:lang w:val="en-US"/>
        </w:rPr>
        <w:t>Mrozowski</w:t>
      </w:r>
      <w:proofErr w:type="spellEnd"/>
      <w:r w:rsidRPr="0052783C">
        <w:rPr>
          <w:rFonts w:ascii="Garamond" w:hAnsi="Garamond"/>
          <w:sz w:val="24"/>
          <w:szCs w:val="24"/>
          <w:lang w:val="en-US"/>
        </w:rPr>
        <w:t xml:space="preserve"> has discussed the process of commodification of nature and space in early modern colonialism and how the English at the Jamestown colony surveyed the region for resources that could be turned into commodities.</w:t>
      </w:r>
      <w:r w:rsidRPr="0052783C">
        <w:rPr>
          <w:rStyle w:val="Slutkommentarsreferens"/>
          <w:rFonts w:ascii="Garamond" w:hAnsi="Garamond"/>
          <w:sz w:val="24"/>
          <w:szCs w:val="24"/>
        </w:rPr>
        <w:endnoteReference w:id="53"/>
      </w:r>
      <w:r w:rsidRPr="0052783C">
        <w:rPr>
          <w:rFonts w:ascii="Garamond" w:hAnsi="Garamond"/>
          <w:sz w:val="24"/>
          <w:szCs w:val="24"/>
          <w:lang w:val="en-US"/>
        </w:rPr>
        <w:t xml:space="preserve"> The contemporary development in Kongsberg and several other mining areas in northern Europe, with its swift change of landscape and production of new spaces, </w:t>
      </w:r>
      <w:proofErr w:type="gramStart"/>
      <w:r w:rsidRPr="0052783C">
        <w:rPr>
          <w:rFonts w:ascii="Garamond" w:hAnsi="Garamond"/>
          <w:sz w:val="24"/>
          <w:szCs w:val="24"/>
          <w:lang w:val="en-US"/>
        </w:rPr>
        <w:t>is</w:t>
      </w:r>
      <w:proofErr w:type="gramEnd"/>
      <w:r w:rsidRPr="0052783C">
        <w:rPr>
          <w:rFonts w:ascii="Garamond" w:hAnsi="Garamond"/>
          <w:sz w:val="24"/>
          <w:szCs w:val="24"/>
          <w:lang w:val="en-US"/>
        </w:rPr>
        <w:t xml:space="preserve"> related to the metabolic rift of capitalist society.</w:t>
      </w:r>
      <w:r w:rsidRPr="0052783C">
        <w:rPr>
          <w:rStyle w:val="Slutkommentarsreferens"/>
          <w:rFonts w:ascii="Garamond" w:hAnsi="Garamond"/>
          <w:sz w:val="24"/>
          <w:szCs w:val="24"/>
        </w:rPr>
        <w:endnoteReference w:id="54"/>
      </w:r>
      <w:r w:rsidRPr="0052783C">
        <w:rPr>
          <w:rFonts w:ascii="Garamond" w:hAnsi="Garamond"/>
          <w:sz w:val="24"/>
          <w:szCs w:val="24"/>
          <w:lang w:val="en-US"/>
        </w:rPr>
        <w:t xml:space="preserve"> A space with diverse uses was turned into a commodity exploited by groups as well as individuals.</w:t>
      </w:r>
    </w:p>
    <w:p w:rsidR="00320771" w:rsidRDefault="00ED79A7" w:rsidP="00320771">
      <w:pPr>
        <w:spacing w:line="360" w:lineRule="auto"/>
        <w:ind w:firstLine="720"/>
        <w:rPr>
          <w:rFonts w:ascii="Garamond" w:hAnsi="Garamond"/>
          <w:sz w:val="24"/>
          <w:szCs w:val="24"/>
          <w:lang w:val="en-US"/>
        </w:rPr>
      </w:pPr>
      <w:r w:rsidRPr="0052783C">
        <w:rPr>
          <w:rFonts w:ascii="Garamond" w:hAnsi="Garamond"/>
          <w:sz w:val="24"/>
          <w:szCs w:val="24"/>
          <w:lang w:val="en-US"/>
        </w:rPr>
        <w:t xml:space="preserve">In the 1620s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had already erected a manor for himself in the </w:t>
      </w:r>
      <w:proofErr w:type="spellStart"/>
      <w:r w:rsidRPr="0052783C">
        <w:rPr>
          <w:rFonts w:ascii="Garamond" w:hAnsi="Garamond"/>
          <w:sz w:val="24"/>
          <w:szCs w:val="24"/>
          <w:lang w:val="en-US"/>
        </w:rPr>
        <w:t>centre</w:t>
      </w:r>
      <w:proofErr w:type="spellEnd"/>
      <w:r w:rsidRPr="0052783C">
        <w:rPr>
          <w:rFonts w:ascii="Garamond" w:hAnsi="Garamond"/>
          <w:sz w:val="24"/>
          <w:szCs w:val="24"/>
          <w:lang w:val="en-US"/>
        </w:rPr>
        <w:t xml:space="preserve"> of the Kongsberg mining town. From the 1640s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kept on expanding his influence and expanded his number of estates but now in Scania and Zealand. He was appointed admiral of the realm in </w:t>
      </w:r>
      <w:r w:rsidRPr="0052783C">
        <w:rPr>
          <w:rFonts w:ascii="Garamond" w:hAnsi="Garamond"/>
          <w:sz w:val="24"/>
          <w:szCs w:val="24"/>
          <w:lang w:val="en-US"/>
        </w:rPr>
        <w:lastRenderedPageBreak/>
        <w:t>1645 and member of the council of the realm the same year.</w:t>
      </w:r>
      <w:r w:rsidRPr="0052783C">
        <w:rPr>
          <w:rStyle w:val="Slutkommentarsreferens"/>
          <w:rFonts w:ascii="Garamond" w:hAnsi="Garamond"/>
          <w:sz w:val="24"/>
          <w:szCs w:val="24"/>
        </w:rPr>
        <w:endnoteReference w:id="55"/>
      </w:r>
      <w:r w:rsidRPr="0052783C">
        <w:rPr>
          <w:rFonts w:ascii="Garamond" w:hAnsi="Garamond"/>
          <w:sz w:val="24"/>
          <w:szCs w:val="24"/>
          <w:lang w:val="en-US"/>
        </w:rPr>
        <w:t xml:space="preserve"> In 1661 </w:t>
      </w:r>
      <w:proofErr w:type="spellStart"/>
      <w:r w:rsidRPr="0052783C">
        <w:rPr>
          <w:rFonts w:ascii="Garamond" w:hAnsi="Garamond"/>
          <w:sz w:val="24"/>
          <w:szCs w:val="24"/>
          <w:lang w:val="en-US"/>
        </w:rPr>
        <w:t>Gjedde’s</w:t>
      </w:r>
      <w:proofErr w:type="spellEnd"/>
      <w:r w:rsidRPr="0052783C">
        <w:rPr>
          <w:rFonts w:ascii="Garamond" w:hAnsi="Garamond"/>
          <w:sz w:val="24"/>
          <w:szCs w:val="24"/>
          <w:lang w:val="en-US"/>
        </w:rPr>
        <w:t xml:space="preserve"> family was second only to the King as the largest stockholder at Kongsberg silver mines and works.</w:t>
      </w:r>
      <w:r w:rsidRPr="0052783C">
        <w:rPr>
          <w:rStyle w:val="Slutkommentarsreferens"/>
          <w:rFonts w:ascii="Garamond" w:hAnsi="Garamond"/>
          <w:sz w:val="24"/>
          <w:szCs w:val="24"/>
        </w:rPr>
        <w:endnoteReference w:id="56"/>
      </w:r>
      <w:r w:rsidRPr="0052783C">
        <w:rPr>
          <w:rFonts w:ascii="Garamond" w:hAnsi="Garamond"/>
          <w:sz w:val="24"/>
          <w:szCs w:val="24"/>
          <w:lang w:val="en-US"/>
        </w:rPr>
        <w:t xml:space="preserve"> </w:t>
      </w:r>
    </w:p>
    <w:p w:rsidR="00320771" w:rsidRPr="00320771" w:rsidRDefault="00320771" w:rsidP="00320771">
      <w:pPr>
        <w:spacing w:after="0" w:line="360" w:lineRule="auto"/>
        <w:rPr>
          <w:rFonts w:ascii="Garamond" w:hAnsi="Garamond"/>
          <w:i/>
          <w:sz w:val="24"/>
          <w:szCs w:val="24"/>
          <w:lang w:val="en-US"/>
        </w:rPr>
      </w:pPr>
      <w:r w:rsidRPr="00320771">
        <w:rPr>
          <w:rFonts w:ascii="Garamond" w:hAnsi="Garamond"/>
          <w:i/>
          <w:sz w:val="24"/>
          <w:szCs w:val="24"/>
          <w:lang w:val="en-US"/>
        </w:rPr>
        <w:t>A mercantilist biography</w:t>
      </w:r>
    </w:p>
    <w:p w:rsidR="00E43E7F" w:rsidRDefault="00ED79A7" w:rsidP="00E43E7F">
      <w:pPr>
        <w:spacing w:after="0" w:line="360" w:lineRule="auto"/>
        <w:rPr>
          <w:rFonts w:ascii="Garamond" w:hAnsi="Garamond"/>
          <w:sz w:val="24"/>
          <w:szCs w:val="24"/>
          <w:lang w:val="en-US"/>
        </w:rPr>
      </w:pPr>
      <w:r w:rsidRPr="0052783C">
        <w:rPr>
          <w:rFonts w:ascii="Garamond" w:hAnsi="Garamond"/>
          <w:sz w:val="24"/>
          <w:szCs w:val="24"/>
          <w:lang w:val="en-US"/>
        </w:rPr>
        <w:t xml:space="preserve">The life of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and the development of mercantilism in Scandinavia were driven by conflicts over markets, shares, ores, land and prestige. Mercantilist ideas had recognized limitations of resources and limitations of precious goods. No wonder this period saw the birth of modern piracy. Conflict was the root of </w:t>
      </w:r>
      <w:proofErr w:type="spellStart"/>
      <w:r w:rsidRPr="0052783C">
        <w:rPr>
          <w:rFonts w:ascii="Garamond" w:hAnsi="Garamond"/>
          <w:sz w:val="24"/>
          <w:szCs w:val="24"/>
          <w:lang w:val="en-US"/>
        </w:rPr>
        <w:t>Gjedde’s</w:t>
      </w:r>
      <w:proofErr w:type="spellEnd"/>
      <w:r w:rsidRPr="0052783C">
        <w:rPr>
          <w:rFonts w:ascii="Garamond" w:hAnsi="Garamond"/>
          <w:sz w:val="24"/>
          <w:szCs w:val="24"/>
          <w:lang w:val="en-US"/>
        </w:rPr>
        <w:t xml:space="preserve"> journey and of his position in society. Wars with Sweden were a recurrent horrifying event. In 1659, during the second Danish war of Charles X of Sweden, when </w:t>
      </w:r>
      <w:proofErr w:type="spellStart"/>
      <w:r w:rsidRPr="0052783C">
        <w:rPr>
          <w:rFonts w:ascii="Garamond" w:hAnsi="Garamond"/>
          <w:sz w:val="24"/>
          <w:szCs w:val="24"/>
          <w:lang w:val="en-US"/>
        </w:rPr>
        <w:t>Ove</w:t>
      </w:r>
      <w:proofErr w:type="spellEnd"/>
      <w:r w:rsidRPr="0052783C">
        <w:rPr>
          <w:rFonts w:ascii="Garamond" w:hAnsi="Garamond"/>
          <w:sz w:val="24"/>
          <w:szCs w:val="24"/>
          <w:lang w:val="en-US"/>
        </w:rPr>
        <w:t xml:space="preserve">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had retired from the mining busine</w:t>
      </w:r>
      <w:r w:rsidR="009E5791">
        <w:rPr>
          <w:rFonts w:ascii="Garamond" w:hAnsi="Garamond"/>
          <w:sz w:val="24"/>
          <w:szCs w:val="24"/>
          <w:lang w:val="en-US"/>
        </w:rPr>
        <w:t>ss, his son</w:t>
      </w:r>
      <w:r w:rsidRPr="0052783C">
        <w:rPr>
          <w:rFonts w:ascii="Garamond" w:hAnsi="Garamond"/>
          <w:sz w:val="24"/>
          <w:szCs w:val="24"/>
          <w:lang w:val="en-US"/>
        </w:rPr>
        <w:t xml:space="preserve">-in-law </w:t>
      </w:r>
      <w:proofErr w:type="spellStart"/>
      <w:r w:rsidRPr="0052783C">
        <w:rPr>
          <w:rFonts w:ascii="Garamond" w:hAnsi="Garamond"/>
          <w:sz w:val="24"/>
          <w:szCs w:val="24"/>
          <w:lang w:val="en-US"/>
        </w:rPr>
        <w:t>Preben</w:t>
      </w:r>
      <w:proofErr w:type="spellEnd"/>
      <w:r w:rsidRPr="0052783C">
        <w:rPr>
          <w:rFonts w:ascii="Garamond" w:hAnsi="Garamond"/>
          <w:sz w:val="24"/>
          <w:szCs w:val="24"/>
          <w:lang w:val="en-US"/>
        </w:rPr>
        <w:t xml:space="preserve"> von </w:t>
      </w:r>
      <w:proofErr w:type="spellStart"/>
      <w:r w:rsidRPr="0052783C">
        <w:rPr>
          <w:rFonts w:ascii="Garamond" w:hAnsi="Garamond"/>
          <w:sz w:val="24"/>
          <w:szCs w:val="24"/>
          <w:lang w:val="en-US"/>
        </w:rPr>
        <w:t>Ahnen</w:t>
      </w:r>
      <w:proofErr w:type="spellEnd"/>
      <w:r w:rsidRPr="0052783C">
        <w:rPr>
          <w:rFonts w:ascii="Garamond" w:hAnsi="Garamond"/>
          <w:sz w:val="24"/>
          <w:szCs w:val="24"/>
          <w:lang w:val="en-US"/>
        </w:rPr>
        <w:t xml:space="preserve"> marched over the Scandia </w:t>
      </w:r>
      <w:proofErr w:type="gramStart"/>
      <w:r w:rsidRPr="0052783C">
        <w:rPr>
          <w:rFonts w:ascii="Garamond" w:hAnsi="Garamond"/>
          <w:sz w:val="24"/>
          <w:szCs w:val="24"/>
          <w:lang w:val="en-US"/>
        </w:rPr>
        <w:t>mountains</w:t>
      </w:r>
      <w:proofErr w:type="gramEnd"/>
      <w:r w:rsidRPr="0052783C">
        <w:rPr>
          <w:rFonts w:ascii="Garamond" w:hAnsi="Garamond"/>
          <w:sz w:val="24"/>
          <w:szCs w:val="24"/>
          <w:lang w:val="en-US"/>
        </w:rPr>
        <w:t xml:space="preserve"> from Trondheim and destroyed the silver mines of </w:t>
      </w:r>
      <w:proofErr w:type="spellStart"/>
      <w:r w:rsidRPr="0052783C">
        <w:rPr>
          <w:rFonts w:ascii="Garamond" w:hAnsi="Garamond"/>
          <w:sz w:val="24"/>
          <w:szCs w:val="24"/>
          <w:lang w:val="en-US"/>
        </w:rPr>
        <w:t>Nasafjäll</w:t>
      </w:r>
      <w:proofErr w:type="spellEnd"/>
      <w:r w:rsidRPr="0052783C">
        <w:rPr>
          <w:rFonts w:ascii="Garamond" w:hAnsi="Garamond"/>
          <w:sz w:val="24"/>
          <w:szCs w:val="24"/>
          <w:lang w:val="en-US"/>
        </w:rPr>
        <w:t xml:space="preserve"> and silver works of </w:t>
      </w:r>
      <w:proofErr w:type="spellStart"/>
      <w:r w:rsidRPr="0052783C">
        <w:rPr>
          <w:rFonts w:ascii="Garamond" w:hAnsi="Garamond"/>
          <w:sz w:val="24"/>
          <w:szCs w:val="24"/>
          <w:lang w:val="en-US"/>
        </w:rPr>
        <w:t>Silbojokk</w:t>
      </w:r>
      <w:proofErr w:type="spellEnd"/>
      <w:r w:rsidRPr="0052783C">
        <w:rPr>
          <w:rFonts w:ascii="Garamond" w:hAnsi="Garamond"/>
          <w:sz w:val="24"/>
          <w:szCs w:val="24"/>
          <w:lang w:val="en-US"/>
        </w:rPr>
        <w:t xml:space="preserve"> in Swedish </w:t>
      </w:r>
      <w:proofErr w:type="spellStart"/>
      <w:r w:rsidRPr="0052783C">
        <w:rPr>
          <w:rFonts w:ascii="Garamond" w:hAnsi="Garamond"/>
          <w:sz w:val="24"/>
          <w:szCs w:val="24"/>
          <w:lang w:val="en-US"/>
        </w:rPr>
        <w:t>Sápmi</w:t>
      </w:r>
      <w:proofErr w:type="spellEnd"/>
      <w:r w:rsidRPr="0052783C">
        <w:rPr>
          <w:rFonts w:ascii="Garamond" w:hAnsi="Garamond"/>
          <w:sz w:val="24"/>
          <w:szCs w:val="24"/>
          <w:lang w:val="en-US"/>
        </w:rPr>
        <w:t>.</w:t>
      </w:r>
      <w:r w:rsidRPr="0052783C">
        <w:rPr>
          <w:rStyle w:val="Slutkommentarsreferens"/>
          <w:rFonts w:ascii="Garamond" w:hAnsi="Garamond"/>
          <w:sz w:val="24"/>
          <w:szCs w:val="24"/>
        </w:rPr>
        <w:endnoteReference w:id="57"/>
      </w:r>
      <w:r w:rsidRPr="0052783C">
        <w:rPr>
          <w:rFonts w:ascii="Garamond" w:hAnsi="Garamond"/>
          <w:sz w:val="24"/>
          <w:szCs w:val="24"/>
          <w:lang w:val="en-US"/>
        </w:rPr>
        <w:t xml:space="preserve"> This was an act of economic warfare intended to disturb Sweden’s finances. Striking at the production of silver seems like an appropriate mercantilist activity. Silver as an </w:t>
      </w:r>
      <w:proofErr w:type="spellStart"/>
      <w:r w:rsidRPr="0052783C">
        <w:rPr>
          <w:rFonts w:ascii="Garamond" w:hAnsi="Garamond"/>
          <w:sz w:val="24"/>
          <w:szCs w:val="24"/>
          <w:lang w:val="en-US"/>
        </w:rPr>
        <w:t>actant</w:t>
      </w:r>
      <w:proofErr w:type="spellEnd"/>
      <w:r w:rsidRPr="0052783C">
        <w:rPr>
          <w:rFonts w:ascii="Garamond" w:hAnsi="Garamond"/>
          <w:sz w:val="24"/>
          <w:szCs w:val="24"/>
          <w:lang w:val="en-US"/>
        </w:rPr>
        <w:t xml:space="preserve"> kept on governing the life and actions of </w:t>
      </w:r>
      <w:proofErr w:type="spellStart"/>
      <w:r w:rsidRPr="0052783C">
        <w:rPr>
          <w:rFonts w:ascii="Garamond" w:hAnsi="Garamond"/>
          <w:sz w:val="24"/>
          <w:szCs w:val="24"/>
          <w:lang w:val="en-US"/>
        </w:rPr>
        <w:t>Gjedde</w:t>
      </w:r>
      <w:proofErr w:type="spellEnd"/>
      <w:r w:rsidRPr="0052783C">
        <w:rPr>
          <w:rFonts w:ascii="Garamond" w:hAnsi="Garamond"/>
          <w:sz w:val="24"/>
          <w:szCs w:val="24"/>
          <w:lang w:val="en-US"/>
        </w:rPr>
        <w:t xml:space="preserve"> from his maiden voyage to</w:t>
      </w:r>
      <w:r w:rsidR="00663467">
        <w:rPr>
          <w:rFonts w:ascii="Garamond" w:hAnsi="Garamond"/>
          <w:sz w:val="24"/>
          <w:szCs w:val="24"/>
          <w:lang w:val="en-US"/>
        </w:rPr>
        <w:t xml:space="preserve"> India all through his life</w:t>
      </w:r>
      <w:r w:rsidR="00320771">
        <w:rPr>
          <w:rFonts w:ascii="Garamond" w:hAnsi="Garamond"/>
          <w:sz w:val="24"/>
          <w:szCs w:val="24"/>
          <w:lang w:val="en-US"/>
        </w:rPr>
        <w:t>.</w:t>
      </w:r>
      <w:r w:rsidR="00E43E7F">
        <w:rPr>
          <w:rFonts w:ascii="Garamond" w:hAnsi="Garamond"/>
          <w:sz w:val="24"/>
          <w:szCs w:val="24"/>
          <w:lang w:val="en-US"/>
        </w:rPr>
        <w:t xml:space="preserve"> </w:t>
      </w:r>
    </w:p>
    <w:p w:rsidR="00E43E7F" w:rsidRPr="0052783C" w:rsidRDefault="00E43E7F" w:rsidP="00E43E7F">
      <w:pPr>
        <w:spacing w:line="360" w:lineRule="auto"/>
        <w:ind w:firstLine="1304"/>
        <w:rPr>
          <w:rFonts w:ascii="Garamond" w:hAnsi="Garamond"/>
          <w:sz w:val="24"/>
          <w:szCs w:val="24"/>
          <w:lang w:val="en-US"/>
        </w:rPr>
        <w:sectPr w:rsidR="00E43E7F" w:rsidRPr="0052783C">
          <w:footerReference w:type="default" r:id="rId9"/>
          <w:endnotePr>
            <w:numFmt w:val="decimal"/>
          </w:endnotePr>
          <w:pgSz w:w="11906" w:h="16838"/>
          <w:pgMar w:top="1417" w:right="1417" w:bottom="1417" w:left="1417" w:header="708" w:footer="708" w:gutter="0"/>
          <w:cols w:space="720"/>
        </w:sectPr>
      </w:pPr>
      <w:r>
        <w:rPr>
          <w:rFonts w:ascii="Garamond" w:hAnsi="Garamond"/>
          <w:sz w:val="24"/>
          <w:szCs w:val="24"/>
          <w:lang w:val="en-US"/>
        </w:rPr>
        <w:t xml:space="preserve">In parallel to the investments in Kongsberg and other estates, </w:t>
      </w:r>
      <w:proofErr w:type="spellStart"/>
      <w:r>
        <w:rPr>
          <w:rFonts w:ascii="Garamond" w:hAnsi="Garamond"/>
          <w:sz w:val="24"/>
          <w:szCs w:val="24"/>
          <w:lang w:val="en-US"/>
        </w:rPr>
        <w:t>Gjedde</w:t>
      </w:r>
      <w:proofErr w:type="spellEnd"/>
      <w:r>
        <w:rPr>
          <w:rFonts w:ascii="Garamond" w:hAnsi="Garamond"/>
          <w:sz w:val="24"/>
          <w:szCs w:val="24"/>
          <w:lang w:val="en-US"/>
        </w:rPr>
        <w:t xml:space="preserve"> and his wife </w:t>
      </w:r>
      <w:proofErr w:type="spellStart"/>
      <w:r>
        <w:rPr>
          <w:rFonts w:ascii="Garamond" w:hAnsi="Garamond"/>
          <w:sz w:val="24"/>
          <w:szCs w:val="24"/>
          <w:lang w:val="en-US"/>
        </w:rPr>
        <w:t>Dorte</w:t>
      </w:r>
      <w:proofErr w:type="spellEnd"/>
      <w:r>
        <w:rPr>
          <w:rFonts w:ascii="Garamond" w:hAnsi="Garamond"/>
          <w:sz w:val="24"/>
          <w:szCs w:val="24"/>
          <w:lang w:val="en-US"/>
        </w:rPr>
        <w:t xml:space="preserve"> </w:t>
      </w:r>
      <w:proofErr w:type="spellStart"/>
      <w:r>
        <w:rPr>
          <w:rFonts w:ascii="Garamond" w:hAnsi="Garamond"/>
          <w:sz w:val="24"/>
          <w:szCs w:val="24"/>
          <w:lang w:val="en-US"/>
        </w:rPr>
        <w:t>Urne</w:t>
      </w:r>
      <w:proofErr w:type="spellEnd"/>
      <w:r>
        <w:rPr>
          <w:rFonts w:ascii="Garamond" w:hAnsi="Garamond"/>
          <w:sz w:val="24"/>
          <w:szCs w:val="24"/>
          <w:lang w:val="en-US"/>
        </w:rPr>
        <w:t xml:space="preserve"> invested heavily in the Scania estate, </w:t>
      </w:r>
      <w:proofErr w:type="spellStart"/>
      <w:r>
        <w:rPr>
          <w:rFonts w:ascii="Garamond" w:hAnsi="Garamond"/>
          <w:sz w:val="24"/>
          <w:szCs w:val="24"/>
          <w:lang w:val="en-US"/>
        </w:rPr>
        <w:t>Tommarp</w:t>
      </w:r>
      <w:proofErr w:type="spellEnd"/>
      <w:r>
        <w:rPr>
          <w:rFonts w:ascii="Garamond" w:hAnsi="Garamond"/>
          <w:sz w:val="24"/>
          <w:szCs w:val="24"/>
          <w:lang w:val="en-US"/>
        </w:rPr>
        <w:t xml:space="preserve">, transforming it into a blooming renaissance castle with towers, orchards and canals. Above the main entrance in </w:t>
      </w:r>
      <w:proofErr w:type="spellStart"/>
      <w:r>
        <w:rPr>
          <w:rFonts w:ascii="Garamond" w:hAnsi="Garamond"/>
          <w:sz w:val="24"/>
          <w:szCs w:val="24"/>
          <w:lang w:val="en-US"/>
        </w:rPr>
        <w:t>Tommarp</w:t>
      </w:r>
      <w:proofErr w:type="spellEnd"/>
      <w:r>
        <w:rPr>
          <w:rFonts w:ascii="Garamond" w:hAnsi="Garamond"/>
          <w:sz w:val="24"/>
          <w:szCs w:val="24"/>
          <w:lang w:val="en-US"/>
        </w:rPr>
        <w:t xml:space="preserve"> the proprietors had a stone tablet with their coats of arms put up. The pike of </w:t>
      </w:r>
      <w:proofErr w:type="spellStart"/>
      <w:r>
        <w:rPr>
          <w:rFonts w:ascii="Garamond" w:hAnsi="Garamond"/>
          <w:sz w:val="24"/>
          <w:szCs w:val="24"/>
          <w:lang w:val="en-US"/>
        </w:rPr>
        <w:t>Ove</w:t>
      </w:r>
      <w:proofErr w:type="spellEnd"/>
      <w:r>
        <w:rPr>
          <w:rFonts w:ascii="Garamond" w:hAnsi="Garamond"/>
          <w:sz w:val="24"/>
          <w:szCs w:val="24"/>
          <w:lang w:val="en-US"/>
        </w:rPr>
        <w:t xml:space="preserve"> </w:t>
      </w:r>
      <w:proofErr w:type="spellStart"/>
      <w:r>
        <w:rPr>
          <w:rFonts w:ascii="Garamond" w:hAnsi="Garamond"/>
          <w:sz w:val="24"/>
          <w:szCs w:val="24"/>
          <w:lang w:val="en-US"/>
        </w:rPr>
        <w:t>Gjedde</w:t>
      </w:r>
      <w:proofErr w:type="spellEnd"/>
      <w:r>
        <w:rPr>
          <w:rFonts w:ascii="Garamond" w:hAnsi="Garamond"/>
          <w:sz w:val="24"/>
          <w:szCs w:val="24"/>
          <w:lang w:val="en-US"/>
        </w:rPr>
        <w:t xml:space="preserve"> and the eagles’ foot of </w:t>
      </w:r>
      <w:proofErr w:type="spellStart"/>
      <w:r>
        <w:rPr>
          <w:rFonts w:ascii="Garamond" w:hAnsi="Garamond"/>
          <w:sz w:val="24"/>
          <w:szCs w:val="24"/>
          <w:lang w:val="en-US"/>
        </w:rPr>
        <w:t>Dorte</w:t>
      </w:r>
      <w:proofErr w:type="spellEnd"/>
      <w:r>
        <w:rPr>
          <w:rFonts w:ascii="Garamond" w:hAnsi="Garamond"/>
          <w:sz w:val="24"/>
          <w:szCs w:val="24"/>
          <w:lang w:val="en-US"/>
        </w:rPr>
        <w:t xml:space="preserve"> </w:t>
      </w:r>
      <w:proofErr w:type="spellStart"/>
      <w:r>
        <w:rPr>
          <w:rFonts w:ascii="Garamond" w:hAnsi="Garamond"/>
          <w:sz w:val="24"/>
          <w:szCs w:val="24"/>
          <w:lang w:val="en-US"/>
        </w:rPr>
        <w:t>Urne</w:t>
      </w:r>
      <w:proofErr w:type="spellEnd"/>
      <w:r>
        <w:rPr>
          <w:rFonts w:ascii="Garamond" w:hAnsi="Garamond"/>
          <w:sz w:val="24"/>
          <w:szCs w:val="24"/>
          <w:lang w:val="en-US"/>
        </w:rPr>
        <w:t xml:space="preserve"> are framed by two mermaids, very similar, not to say almost identical to the two designed by </w:t>
      </w:r>
      <w:proofErr w:type="spellStart"/>
      <w:r>
        <w:rPr>
          <w:rFonts w:ascii="Garamond" w:hAnsi="Garamond"/>
          <w:sz w:val="24"/>
          <w:szCs w:val="24"/>
          <w:lang w:val="en-US"/>
        </w:rPr>
        <w:t>Gjedde</w:t>
      </w:r>
      <w:proofErr w:type="spellEnd"/>
      <w:r>
        <w:rPr>
          <w:rFonts w:ascii="Garamond" w:hAnsi="Garamond"/>
          <w:sz w:val="24"/>
          <w:szCs w:val="24"/>
          <w:lang w:val="en-US"/>
        </w:rPr>
        <w:t xml:space="preserve"> for the </w:t>
      </w:r>
      <w:proofErr w:type="spellStart"/>
      <w:r>
        <w:rPr>
          <w:rFonts w:ascii="Garamond" w:hAnsi="Garamond"/>
          <w:sz w:val="24"/>
          <w:szCs w:val="24"/>
          <w:lang w:val="en-US"/>
        </w:rPr>
        <w:t>Dansborg</w:t>
      </w:r>
      <w:proofErr w:type="spellEnd"/>
      <w:r>
        <w:rPr>
          <w:rFonts w:ascii="Garamond" w:hAnsi="Garamond"/>
          <w:sz w:val="24"/>
          <w:szCs w:val="24"/>
          <w:lang w:val="en-US"/>
        </w:rPr>
        <w:t xml:space="preserve"> gate. The mythical sea of riches </w:t>
      </w:r>
      <w:r w:rsidR="00C77A00">
        <w:rPr>
          <w:rFonts w:ascii="Garamond" w:hAnsi="Garamond"/>
          <w:sz w:val="24"/>
          <w:szCs w:val="24"/>
          <w:lang w:val="en-US"/>
        </w:rPr>
        <w:t xml:space="preserve">followed </w:t>
      </w:r>
      <w:proofErr w:type="spellStart"/>
      <w:r w:rsidR="00C77A00">
        <w:rPr>
          <w:rFonts w:ascii="Garamond" w:hAnsi="Garamond"/>
          <w:sz w:val="24"/>
          <w:szCs w:val="24"/>
          <w:lang w:val="en-US"/>
        </w:rPr>
        <w:t>Gjedde</w:t>
      </w:r>
      <w:proofErr w:type="spellEnd"/>
      <w:r w:rsidR="00C77A00">
        <w:rPr>
          <w:rFonts w:ascii="Garamond" w:hAnsi="Garamond"/>
          <w:sz w:val="24"/>
          <w:szCs w:val="24"/>
          <w:lang w:val="en-US"/>
        </w:rPr>
        <w:t xml:space="preserve"> and his family from Denmark, to India and back again via Norway and the world.</w:t>
      </w:r>
    </w:p>
    <w:p w:rsidR="00ED79A7" w:rsidRPr="0052783C" w:rsidRDefault="00ED79A7">
      <w:pPr>
        <w:rPr>
          <w:rFonts w:ascii="Garamond" w:hAnsi="Garamond"/>
          <w:sz w:val="24"/>
          <w:szCs w:val="24"/>
          <w:lang w:val="en-US"/>
        </w:rPr>
      </w:pPr>
    </w:p>
    <w:sectPr w:rsidR="00ED79A7" w:rsidRPr="005278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408" w:rsidRDefault="00844408" w:rsidP="00ED79A7">
      <w:pPr>
        <w:spacing w:after="0" w:line="240" w:lineRule="auto"/>
      </w:pPr>
      <w:r>
        <w:separator/>
      </w:r>
    </w:p>
  </w:endnote>
  <w:endnote w:type="continuationSeparator" w:id="0">
    <w:p w:rsidR="00844408" w:rsidRDefault="00844408" w:rsidP="00ED79A7">
      <w:pPr>
        <w:spacing w:after="0" w:line="240" w:lineRule="auto"/>
      </w:pPr>
      <w:r>
        <w:continuationSeparator/>
      </w:r>
    </w:p>
  </w:endnote>
  <w:endnote w:id="1">
    <w:p w:rsidR="00ED79A7" w:rsidRDefault="00ED79A7" w:rsidP="00ED79A7">
      <w:pPr>
        <w:pStyle w:val="Slutkommentar"/>
        <w:spacing w:line="360" w:lineRule="auto"/>
      </w:pPr>
      <w:r>
        <w:rPr>
          <w:rStyle w:val="Slutkommentarsreferens"/>
        </w:rPr>
        <w:endnoteRef/>
      </w:r>
      <w:r>
        <w:t xml:space="preserve"> In the following t</w:t>
      </w:r>
      <w:r w:rsidR="008002D9">
        <w:t xml:space="preserve">ext the spelling </w:t>
      </w:r>
      <w:proofErr w:type="spellStart"/>
      <w:r w:rsidR="008002D9">
        <w:t>Gjedde</w:t>
      </w:r>
      <w:proofErr w:type="spellEnd"/>
      <w:r w:rsidR="008002D9">
        <w:t xml:space="preserve"> is used</w:t>
      </w:r>
      <w:r>
        <w:t xml:space="preserve">. This is the most common and used in modern scholarly literature (e.g. </w:t>
      </w:r>
      <w:proofErr w:type="spellStart"/>
      <w:r>
        <w:t>Fihl</w:t>
      </w:r>
      <w:proofErr w:type="spellEnd"/>
      <w:r>
        <w:t xml:space="preserve"> 2009). Other forms of the name, such as </w:t>
      </w:r>
      <w:proofErr w:type="spellStart"/>
      <w:r>
        <w:t>Gedde</w:t>
      </w:r>
      <w:proofErr w:type="spellEnd"/>
      <w:r>
        <w:t xml:space="preserve"> and </w:t>
      </w:r>
      <w:proofErr w:type="spellStart"/>
      <w:r>
        <w:t>Giedde</w:t>
      </w:r>
      <w:proofErr w:type="spellEnd"/>
      <w:r>
        <w:t>, are known (</w:t>
      </w:r>
      <w:proofErr w:type="spellStart"/>
      <w:r>
        <w:t>Dayem</w:t>
      </w:r>
      <w:proofErr w:type="spellEnd"/>
      <w:r>
        <w:t xml:space="preserve"> 2006, 17).</w:t>
      </w:r>
    </w:p>
  </w:endnote>
  <w:endnote w:id="2">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Cf. </w:t>
      </w:r>
      <w:proofErr w:type="spellStart"/>
      <w:r w:rsidRPr="007819B0">
        <w:rPr>
          <w:lang w:val="sv-SE"/>
        </w:rPr>
        <w:t>Orser</w:t>
      </w:r>
      <w:proofErr w:type="spellEnd"/>
      <w:r w:rsidRPr="007819B0">
        <w:rPr>
          <w:lang w:val="sv-SE"/>
        </w:rPr>
        <w:t xml:space="preserve"> 1996, 57–8.</w:t>
      </w:r>
    </w:p>
  </w:endnote>
  <w:endnote w:id="3">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w:t>
      </w:r>
      <w:proofErr w:type="spellStart"/>
      <w:r w:rsidRPr="007819B0">
        <w:rPr>
          <w:lang w:val="sv-SE"/>
        </w:rPr>
        <w:t>Jónsson</w:t>
      </w:r>
      <w:proofErr w:type="spellEnd"/>
      <w:r w:rsidRPr="007819B0">
        <w:rPr>
          <w:lang w:val="sv-SE"/>
        </w:rPr>
        <w:t xml:space="preserve"> 2009.</w:t>
      </w:r>
    </w:p>
  </w:endnote>
  <w:endnote w:id="4">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Cf. </w:t>
      </w:r>
      <w:proofErr w:type="spellStart"/>
      <w:r w:rsidRPr="007819B0">
        <w:rPr>
          <w:lang w:val="sv-SE"/>
        </w:rPr>
        <w:t>Bregnsbo</w:t>
      </w:r>
      <w:proofErr w:type="spellEnd"/>
      <w:r w:rsidRPr="007819B0">
        <w:rPr>
          <w:lang w:val="sv-SE"/>
        </w:rPr>
        <w:t xml:space="preserve"> &amp; </w:t>
      </w:r>
      <w:proofErr w:type="spellStart"/>
      <w:r w:rsidRPr="007819B0">
        <w:rPr>
          <w:lang w:val="sv-SE"/>
        </w:rPr>
        <w:t>Villads</w:t>
      </w:r>
      <w:proofErr w:type="spellEnd"/>
      <w:r w:rsidRPr="007819B0">
        <w:rPr>
          <w:lang w:val="sv-SE"/>
        </w:rPr>
        <w:t xml:space="preserve"> Jensen 2005, 118–41.</w:t>
      </w:r>
    </w:p>
  </w:endnote>
  <w:endnote w:id="5">
    <w:p w:rsidR="00ED79A7" w:rsidRDefault="00ED79A7" w:rsidP="00ED79A7">
      <w:pPr>
        <w:pStyle w:val="Slutkommentar"/>
        <w:spacing w:line="360" w:lineRule="auto"/>
      </w:pPr>
      <w:r>
        <w:rPr>
          <w:rStyle w:val="Slutkommentarsreferens"/>
        </w:rPr>
        <w:endnoteRef/>
      </w:r>
      <w:r>
        <w:t xml:space="preserve"> </w:t>
      </w:r>
      <w:proofErr w:type="spellStart"/>
      <w:proofErr w:type="gramStart"/>
      <w:r>
        <w:t>Holberg</w:t>
      </w:r>
      <w:proofErr w:type="spellEnd"/>
      <w:r>
        <w:t xml:space="preserve"> 1732–5.</w:t>
      </w:r>
      <w:proofErr w:type="gramEnd"/>
    </w:p>
  </w:endnote>
  <w:endnote w:id="6">
    <w:p w:rsidR="00ED79A7" w:rsidRDefault="00ED79A7" w:rsidP="00ED79A7">
      <w:pPr>
        <w:pStyle w:val="Slutkommentar"/>
        <w:spacing w:line="360" w:lineRule="auto"/>
      </w:pPr>
      <w:r>
        <w:rPr>
          <w:rStyle w:val="Slutkommentarsreferens"/>
        </w:rPr>
        <w:endnoteRef/>
      </w:r>
      <w:r>
        <w:t xml:space="preserve"> </w:t>
      </w:r>
      <w:proofErr w:type="gramStart"/>
      <w:r>
        <w:t xml:space="preserve">Cf. for example </w:t>
      </w:r>
      <w:proofErr w:type="spellStart"/>
      <w:r>
        <w:t>Björnsson</w:t>
      </w:r>
      <w:proofErr w:type="spellEnd"/>
      <w:r>
        <w:t xml:space="preserve"> &amp; Magnusson 2011, 111–200; Murdoch 1998.</w:t>
      </w:r>
      <w:proofErr w:type="gramEnd"/>
    </w:p>
  </w:endnote>
  <w:endnote w:id="7">
    <w:p w:rsidR="00ED79A7" w:rsidRDefault="00ED79A7" w:rsidP="00ED79A7">
      <w:pPr>
        <w:pStyle w:val="Slutkommentar"/>
        <w:spacing w:line="360" w:lineRule="auto"/>
      </w:pPr>
      <w:r>
        <w:rPr>
          <w:rStyle w:val="Slutkommentarsreferens"/>
        </w:rPr>
        <w:endnoteRef/>
      </w:r>
      <w:r>
        <w:t xml:space="preserve"> </w:t>
      </w:r>
      <w:proofErr w:type="spellStart"/>
      <w:proofErr w:type="gramStart"/>
      <w:r>
        <w:t>Latour</w:t>
      </w:r>
      <w:proofErr w:type="spellEnd"/>
      <w:r>
        <w:t xml:space="preserve"> 2005, 70–86; also Murdoch 1998, 360.</w:t>
      </w:r>
      <w:proofErr w:type="gramEnd"/>
    </w:p>
  </w:endnote>
  <w:endnote w:id="8">
    <w:p w:rsidR="00ED79A7" w:rsidRDefault="00ED79A7" w:rsidP="00ED79A7">
      <w:pPr>
        <w:pStyle w:val="Slutkommentar"/>
        <w:spacing w:line="360" w:lineRule="auto"/>
      </w:pPr>
      <w:r>
        <w:rPr>
          <w:rStyle w:val="Slutkommentarsreferens"/>
        </w:rPr>
        <w:endnoteRef/>
      </w:r>
      <w:r>
        <w:t xml:space="preserve"> </w:t>
      </w:r>
      <w:proofErr w:type="spellStart"/>
      <w:proofErr w:type="gramStart"/>
      <w:r>
        <w:t>Latour</w:t>
      </w:r>
      <w:proofErr w:type="spellEnd"/>
      <w:r>
        <w:t xml:space="preserve"> 1993, 117.</w:t>
      </w:r>
      <w:proofErr w:type="gramEnd"/>
    </w:p>
  </w:endnote>
  <w:endnote w:id="9">
    <w:p w:rsidR="00ED79A7" w:rsidRDefault="00ED79A7" w:rsidP="00ED79A7">
      <w:pPr>
        <w:pStyle w:val="Slutkommentar"/>
        <w:spacing w:line="360" w:lineRule="auto"/>
      </w:pPr>
      <w:r>
        <w:rPr>
          <w:rStyle w:val="Slutkommentarsreferens"/>
        </w:rPr>
        <w:endnoteRef/>
      </w:r>
      <w:r>
        <w:t xml:space="preserve"> </w:t>
      </w:r>
      <w:proofErr w:type="gramStart"/>
      <w:r>
        <w:t>Magnusson 1994, 214.</w:t>
      </w:r>
      <w:proofErr w:type="gramEnd"/>
    </w:p>
  </w:endnote>
  <w:endnote w:id="10">
    <w:p w:rsidR="00ED79A7" w:rsidRDefault="00ED79A7" w:rsidP="00ED79A7">
      <w:pPr>
        <w:pStyle w:val="Slutkommentar"/>
        <w:spacing w:line="360" w:lineRule="auto"/>
      </w:pPr>
      <w:r>
        <w:rPr>
          <w:rStyle w:val="Slutkommentarsreferens"/>
        </w:rPr>
        <w:endnoteRef/>
      </w:r>
      <w:r>
        <w:t xml:space="preserve"> </w:t>
      </w:r>
      <w:proofErr w:type="spellStart"/>
      <w:proofErr w:type="gramStart"/>
      <w:r>
        <w:t>Feldbæk</w:t>
      </w:r>
      <w:proofErr w:type="spellEnd"/>
      <w:r>
        <w:t xml:space="preserve"> 1986.</w:t>
      </w:r>
      <w:proofErr w:type="gramEnd"/>
    </w:p>
  </w:endnote>
  <w:endnote w:id="11">
    <w:p w:rsidR="00ED79A7" w:rsidRDefault="00ED79A7" w:rsidP="00ED79A7">
      <w:pPr>
        <w:pStyle w:val="Slutkommentar"/>
        <w:spacing w:line="360" w:lineRule="auto"/>
      </w:pPr>
      <w:r>
        <w:rPr>
          <w:rStyle w:val="Slutkommentarsreferens"/>
        </w:rPr>
        <w:endnoteRef/>
      </w:r>
      <w:r>
        <w:t xml:space="preserve"> Flynn &amp; </w:t>
      </w:r>
      <w:proofErr w:type="spellStart"/>
      <w:r>
        <w:t>Giráldez</w:t>
      </w:r>
      <w:proofErr w:type="spellEnd"/>
      <w:r>
        <w:t xml:space="preserve"> 1995; see also Brook 2008.</w:t>
      </w:r>
    </w:p>
  </w:endnote>
  <w:endnote w:id="12">
    <w:p w:rsidR="00ED79A7" w:rsidRDefault="00ED79A7" w:rsidP="00ED79A7">
      <w:pPr>
        <w:pStyle w:val="Slutkommentar"/>
        <w:spacing w:line="360" w:lineRule="auto"/>
      </w:pPr>
      <w:r>
        <w:rPr>
          <w:rStyle w:val="Slutkommentarsreferens"/>
        </w:rPr>
        <w:endnoteRef/>
      </w:r>
      <w:r>
        <w:t xml:space="preserve"> DBL </w:t>
      </w:r>
      <w:proofErr w:type="spellStart"/>
      <w:r>
        <w:rPr>
          <w:i/>
        </w:rPr>
        <w:t>Gjedde</w:t>
      </w:r>
      <w:proofErr w:type="spellEnd"/>
      <w:r>
        <w:t>.</w:t>
      </w:r>
    </w:p>
  </w:endnote>
  <w:endnote w:id="13">
    <w:p w:rsidR="00ED79A7" w:rsidRDefault="00ED79A7" w:rsidP="00ED79A7">
      <w:pPr>
        <w:pStyle w:val="Slutkommentar"/>
        <w:spacing w:line="360" w:lineRule="auto"/>
        <w:rPr>
          <w:lang w:val="sv-SE"/>
        </w:rPr>
      </w:pPr>
      <w:r>
        <w:rPr>
          <w:rStyle w:val="Slutkommentarsreferens"/>
        </w:rPr>
        <w:endnoteRef/>
      </w:r>
      <w:r>
        <w:rPr>
          <w:lang w:val="sv-SE"/>
        </w:rPr>
        <w:t xml:space="preserve"> </w:t>
      </w:r>
      <w:proofErr w:type="spellStart"/>
      <w:r>
        <w:rPr>
          <w:lang w:val="sv-SE"/>
        </w:rPr>
        <w:t>Dayem</w:t>
      </w:r>
      <w:proofErr w:type="spellEnd"/>
      <w:r>
        <w:rPr>
          <w:lang w:val="sv-SE"/>
        </w:rPr>
        <w:t xml:space="preserve"> 2006.</w:t>
      </w:r>
    </w:p>
  </w:endnote>
  <w:endnote w:id="14">
    <w:p w:rsidR="00ED79A7" w:rsidRPr="007819B0" w:rsidRDefault="00ED79A7" w:rsidP="00ED79A7">
      <w:pPr>
        <w:pStyle w:val="Slutkommentar"/>
        <w:spacing w:line="360" w:lineRule="auto"/>
        <w:rPr>
          <w:lang w:val="sv-SE"/>
        </w:rPr>
      </w:pPr>
      <w:r>
        <w:rPr>
          <w:rStyle w:val="Slutkommentarsreferens"/>
        </w:rPr>
        <w:endnoteRef/>
      </w:r>
      <w:r>
        <w:rPr>
          <w:lang w:val="sv-SE"/>
        </w:rPr>
        <w:t xml:space="preserve"> “</w:t>
      </w:r>
      <w:proofErr w:type="spellStart"/>
      <w:r>
        <w:rPr>
          <w:lang w:val="sv-SE"/>
        </w:rPr>
        <w:t>Fortegnelse</w:t>
      </w:r>
      <w:proofErr w:type="spellEnd"/>
      <w:r>
        <w:rPr>
          <w:lang w:val="sv-SE"/>
        </w:rPr>
        <w:t xml:space="preserve"> </w:t>
      </w:r>
      <w:proofErr w:type="spellStart"/>
      <w:r>
        <w:rPr>
          <w:lang w:val="sv-SE"/>
        </w:rPr>
        <w:t>paa</w:t>
      </w:r>
      <w:proofErr w:type="spellEnd"/>
      <w:r>
        <w:rPr>
          <w:lang w:val="sv-SE"/>
        </w:rPr>
        <w:t xml:space="preserve"> alt, </w:t>
      </w:r>
      <w:proofErr w:type="spellStart"/>
      <w:r>
        <w:rPr>
          <w:lang w:val="sv-SE"/>
        </w:rPr>
        <w:t>hvis</w:t>
      </w:r>
      <w:proofErr w:type="spellEnd"/>
      <w:r>
        <w:rPr>
          <w:lang w:val="sv-SE"/>
        </w:rPr>
        <w:t xml:space="preserve"> denne Indianske </w:t>
      </w:r>
      <w:proofErr w:type="spellStart"/>
      <w:r>
        <w:rPr>
          <w:lang w:val="sv-SE"/>
        </w:rPr>
        <w:t>Reise</w:t>
      </w:r>
      <w:proofErr w:type="spellEnd"/>
      <w:r>
        <w:rPr>
          <w:lang w:val="sv-SE"/>
        </w:rPr>
        <w:t xml:space="preserve"> </w:t>
      </w:r>
      <w:proofErr w:type="spellStart"/>
      <w:r>
        <w:rPr>
          <w:lang w:val="sv-SE"/>
        </w:rPr>
        <w:t>forefalden</w:t>
      </w:r>
      <w:proofErr w:type="spellEnd"/>
      <w:r>
        <w:rPr>
          <w:lang w:val="sv-SE"/>
        </w:rPr>
        <w:t xml:space="preserve"> er, </w:t>
      </w:r>
      <w:proofErr w:type="spellStart"/>
      <w:r>
        <w:rPr>
          <w:lang w:val="sv-SE"/>
        </w:rPr>
        <w:t>fra</w:t>
      </w:r>
      <w:proofErr w:type="spellEnd"/>
      <w:r>
        <w:rPr>
          <w:lang w:val="sv-SE"/>
        </w:rPr>
        <w:t xml:space="preserve"> </w:t>
      </w:r>
      <w:proofErr w:type="spellStart"/>
      <w:r>
        <w:rPr>
          <w:lang w:val="sv-SE"/>
        </w:rPr>
        <w:t>Begyndelsen</w:t>
      </w:r>
      <w:proofErr w:type="spellEnd"/>
      <w:r>
        <w:rPr>
          <w:lang w:val="sv-SE"/>
        </w:rPr>
        <w:t xml:space="preserve"> den 14. </w:t>
      </w:r>
      <w:proofErr w:type="gramStart"/>
      <w:r w:rsidRPr="007819B0">
        <w:rPr>
          <w:lang w:val="sv-SE"/>
        </w:rPr>
        <w:t>November</w:t>
      </w:r>
      <w:proofErr w:type="gramEnd"/>
      <w:r w:rsidRPr="007819B0">
        <w:rPr>
          <w:lang w:val="sv-SE"/>
        </w:rPr>
        <w:t xml:space="preserve"> Anno 1618 </w:t>
      </w:r>
      <w:proofErr w:type="spellStart"/>
      <w:r w:rsidRPr="007819B0">
        <w:rPr>
          <w:lang w:val="sv-SE"/>
        </w:rPr>
        <w:t>og</w:t>
      </w:r>
      <w:proofErr w:type="spellEnd"/>
      <w:r w:rsidRPr="007819B0">
        <w:rPr>
          <w:lang w:val="sv-SE"/>
        </w:rPr>
        <w:t xml:space="preserve"> </w:t>
      </w:r>
      <w:proofErr w:type="spellStart"/>
      <w:r w:rsidRPr="007819B0">
        <w:rPr>
          <w:lang w:val="sv-SE"/>
        </w:rPr>
        <w:t>indtil</w:t>
      </w:r>
      <w:proofErr w:type="spellEnd"/>
      <w:r w:rsidRPr="007819B0">
        <w:rPr>
          <w:lang w:val="sv-SE"/>
        </w:rPr>
        <w:t xml:space="preserve"> den 4 </w:t>
      </w:r>
      <w:proofErr w:type="spellStart"/>
      <w:r w:rsidRPr="007819B0">
        <w:rPr>
          <w:lang w:val="sv-SE"/>
        </w:rPr>
        <w:t>Martii</w:t>
      </w:r>
      <w:proofErr w:type="spellEnd"/>
      <w:r w:rsidRPr="007819B0">
        <w:rPr>
          <w:lang w:val="sv-SE"/>
        </w:rPr>
        <w:t xml:space="preserve"> </w:t>
      </w:r>
      <w:proofErr w:type="spellStart"/>
      <w:r w:rsidRPr="007819B0">
        <w:rPr>
          <w:lang w:val="sv-SE"/>
        </w:rPr>
        <w:t>Ao</w:t>
      </w:r>
      <w:proofErr w:type="spellEnd"/>
      <w:r w:rsidRPr="007819B0">
        <w:rPr>
          <w:lang w:val="sv-SE"/>
        </w:rPr>
        <w:t xml:space="preserve">. 1622”, The </w:t>
      </w:r>
      <w:proofErr w:type="spellStart"/>
      <w:r w:rsidRPr="007819B0">
        <w:rPr>
          <w:lang w:val="sv-SE"/>
        </w:rPr>
        <w:t>Danish</w:t>
      </w:r>
      <w:proofErr w:type="spellEnd"/>
      <w:r w:rsidRPr="007819B0">
        <w:rPr>
          <w:lang w:val="sv-SE"/>
        </w:rPr>
        <w:t xml:space="preserve"> State </w:t>
      </w:r>
      <w:proofErr w:type="spellStart"/>
      <w:r w:rsidRPr="007819B0">
        <w:rPr>
          <w:lang w:val="sv-SE"/>
        </w:rPr>
        <w:t>Archives</w:t>
      </w:r>
      <w:proofErr w:type="spellEnd"/>
      <w:r w:rsidRPr="007819B0">
        <w:rPr>
          <w:lang w:val="sv-SE"/>
        </w:rPr>
        <w:t>; “</w:t>
      </w:r>
      <w:proofErr w:type="spellStart"/>
      <w:r w:rsidRPr="007819B0">
        <w:rPr>
          <w:lang w:val="sv-SE"/>
        </w:rPr>
        <w:t>Fortgnelse</w:t>
      </w:r>
      <w:proofErr w:type="spellEnd"/>
      <w:r w:rsidRPr="007819B0">
        <w:rPr>
          <w:lang w:val="sv-SE"/>
        </w:rPr>
        <w:t xml:space="preserve"> </w:t>
      </w:r>
      <w:proofErr w:type="spellStart"/>
      <w:r w:rsidRPr="007819B0">
        <w:rPr>
          <w:lang w:val="sv-SE"/>
        </w:rPr>
        <w:t>paa</w:t>
      </w:r>
      <w:proofErr w:type="spellEnd"/>
      <w:r w:rsidRPr="007819B0">
        <w:rPr>
          <w:lang w:val="sv-SE"/>
        </w:rPr>
        <w:t xml:space="preserve"> alt </w:t>
      </w:r>
      <w:proofErr w:type="spellStart"/>
      <w:r w:rsidRPr="007819B0">
        <w:rPr>
          <w:lang w:val="sv-SE"/>
        </w:rPr>
        <w:t>hvis</w:t>
      </w:r>
      <w:proofErr w:type="spellEnd"/>
      <w:r w:rsidRPr="007819B0">
        <w:rPr>
          <w:lang w:val="sv-SE"/>
        </w:rPr>
        <w:t xml:space="preserve"> </w:t>
      </w:r>
      <w:proofErr w:type="spellStart"/>
      <w:r w:rsidRPr="007819B0">
        <w:rPr>
          <w:lang w:val="sv-SE"/>
        </w:rPr>
        <w:t>paa</w:t>
      </w:r>
      <w:proofErr w:type="spellEnd"/>
      <w:r w:rsidRPr="007819B0">
        <w:rPr>
          <w:lang w:val="sv-SE"/>
        </w:rPr>
        <w:t xml:space="preserve"> Ceylon med </w:t>
      </w:r>
      <w:proofErr w:type="spellStart"/>
      <w:r w:rsidRPr="007819B0">
        <w:rPr>
          <w:lang w:val="sv-SE"/>
        </w:rPr>
        <w:t>Keiseren</w:t>
      </w:r>
      <w:proofErr w:type="spellEnd"/>
      <w:r w:rsidRPr="007819B0">
        <w:rPr>
          <w:lang w:val="sv-SE"/>
        </w:rPr>
        <w:t xml:space="preserve"> </w:t>
      </w:r>
      <w:proofErr w:type="spellStart"/>
      <w:r w:rsidRPr="007819B0">
        <w:rPr>
          <w:lang w:val="sv-SE"/>
        </w:rPr>
        <w:t>saa</w:t>
      </w:r>
      <w:proofErr w:type="spellEnd"/>
      <w:r w:rsidRPr="007819B0">
        <w:rPr>
          <w:lang w:val="sv-SE"/>
        </w:rPr>
        <w:t xml:space="preserve"> </w:t>
      </w:r>
      <w:proofErr w:type="spellStart"/>
      <w:r w:rsidRPr="007819B0">
        <w:rPr>
          <w:lang w:val="sv-SE"/>
        </w:rPr>
        <w:t>og</w:t>
      </w:r>
      <w:proofErr w:type="spellEnd"/>
      <w:r w:rsidRPr="007819B0">
        <w:rPr>
          <w:lang w:val="sv-SE"/>
        </w:rPr>
        <w:t xml:space="preserve"> </w:t>
      </w:r>
      <w:proofErr w:type="spellStart"/>
      <w:r w:rsidRPr="007819B0">
        <w:rPr>
          <w:lang w:val="sv-SE"/>
        </w:rPr>
        <w:t>paa</w:t>
      </w:r>
      <w:proofErr w:type="spellEnd"/>
      <w:r w:rsidRPr="007819B0">
        <w:rPr>
          <w:lang w:val="sv-SE"/>
        </w:rPr>
        <w:t xml:space="preserve"> </w:t>
      </w:r>
      <w:proofErr w:type="spellStart"/>
      <w:r w:rsidRPr="007819B0">
        <w:rPr>
          <w:lang w:val="sv-SE"/>
        </w:rPr>
        <w:t>Coronabdel</w:t>
      </w:r>
      <w:proofErr w:type="spellEnd"/>
      <w:r w:rsidRPr="007819B0">
        <w:rPr>
          <w:lang w:val="sv-SE"/>
        </w:rPr>
        <w:t xml:space="preserve"> med </w:t>
      </w:r>
      <w:proofErr w:type="spellStart"/>
      <w:r w:rsidRPr="007819B0">
        <w:rPr>
          <w:lang w:val="sv-SE"/>
        </w:rPr>
        <w:t>Naichen</w:t>
      </w:r>
      <w:proofErr w:type="spellEnd"/>
      <w:r w:rsidRPr="007819B0">
        <w:rPr>
          <w:lang w:val="sv-SE"/>
        </w:rPr>
        <w:t xml:space="preserve"> </w:t>
      </w:r>
      <w:proofErr w:type="spellStart"/>
      <w:r w:rsidRPr="007819B0">
        <w:rPr>
          <w:lang w:val="sv-SE"/>
        </w:rPr>
        <w:t>af</w:t>
      </w:r>
      <w:proofErr w:type="spellEnd"/>
      <w:r w:rsidRPr="007819B0">
        <w:rPr>
          <w:lang w:val="sv-SE"/>
        </w:rPr>
        <w:t xml:space="preserve"> </w:t>
      </w:r>
      <w:proofErr w:type="spellStart"/>
      <w:r w:rsidRPr="007819B0">
        <w:rPr>
          <w:lang w:val="sv-SE"/>
        </w:rPr>
        <w:t>Tanjour</w:t>
      </w:r>
      <w:proofErr w:type="spellEnd"/>
      <w:r w:rsidRPr="007819B0">
        <w:rPr>
          <w:lang w:val="sv-SE"/>
        </w:rPr>
        <w:t xml:space="preserve"> </w:t>
      </w:r>
      <w:proofErr w:type="spellStart"/>
      <w:r w:rsidRPr="007819B0">
        <w:rPr>
          <w:lang w:val="sv-SE"/>
        </w:rPr>
        <w:t>forefalden</w:t>
      </w:r>
      <w:proofErr w:type="spellEnd"/>
      <w:r w:rsidRPr="007819B0">
        <w:rPr>
          <w:lang w:val="sv-SE"/>
        </w:rPr>
        <w:t xml:space="preserve"> er </w:t>
      </w:r>
      <w:proofErr w:type="spellStart"/>
      <w:r w:rsidRPr="007819B0">
        <w:rPr>
          <w:lang w:val="sv-SE"/>
        </w:rPr>
        <w:t>fra</w:t>
      </w:r>
      <w:proofErr w:type="spellEnd"/>
      <w:r w:rsidRPr="007819B0">
        <w:rPr>
          <w:lang w:val="sv-SE"/>
        </w:rPr>
        <w:t xml:space="preserve"> 18 May 1620 </w:t>
      </w:r>
      <w:proofErr w:type="spellStart"/>
      <w:r w:rsidRPr="007819B0">
        <w:rPr>
          <w:lang w:val="sv-SE"/>
        </w:rPr>
        <w:t>til</w:t>
      </w:r>
      <w:proofErr w:type="spellEnd"/>
      <w:r w:rsidRPr="007819B0">
        <w:rPr>
          <w:lang w:val="sv-SE"/>
        </w:rPr>
        <w:t xml:space="preserve"> 1 jun. 1621”, The </w:t>
      </w:r>
      <w:proofErr w:type="spellStart"/>
      <w:r w:rsidRPr="007819B0">
        <w:rPr>
          <w:lang w:val="sv-SE"/>
        </w:rPr>
        <w:t>Danish</w:t>
      </w:r>
      <w:proofErr w:type="spellEnd"/>
      <w:r w:rsidRPr="007819B0">
        <w:rPr>
          <w:lang w:val="sv-SE"/>
        </w:rPr>
        <w:t xml:space="preserve"> State </w:t>
      </w:r>
      <w:proofErr w:type="spellStart"/>
      <w:r w:rsidRPr="007819B0">
        <w:rPr>
          <w:lang w:val="sv-SE"/>
        </w:rPr>
        <w:t>Archives</w:t>
      </w:r>
      <w:proofErr w:type="spellEnd"/>
      <w:r w:rsidRPr="007819B0">
        <w:rPr>
          <w:lang w:val="sv-SE"/>
        </w:rPr>
        <w:t>; “</w:t>
      </w:r>
      <w:proofErr w:type="spellStart"/>
      <w:r w:rsidRPr="007819B0">
        <w:rPr>
          <w:lang w:val="sv-SE"/>
        </w:rPr>
        <w:t>Fortegnelse</w:t>
      </w:r>
      <w:proofErr w:type="spellEnd"/>
      <w:r w:rsidRPr="007819B0">
        <w:rPr>
          <w:lang w:val="sv-SE"/>
        </w:rPr>
        <w:t xml:space="preserve"> </w:t>
      </w:r>
      <w:proofErr w:type="spellStart"/>
      <w:r w:rsidRPr="007819B0">
        <w:rPr>
          <w:lang w:val="sv-SE"/>
        </w:rPr>
        <w:t>paa</w:t>
      </w:r>
      <w:proofErr w:type="spellEnd"/>
      <w:r w:rsidRPr="007819B0">
        <w:rPr>
          <w:lang w:val="sv-SE"/>
        </w:rPr>
        <w:t xml:space="preserve"> alt </w:t>
      </w:r>
      <w:proofErr w:type="spellStart"/>
      <w:r w:rsidRPr="007819B0">
        <w:rPr>
          <w:lang w:val="sv-SE"/>
        </w:rPr>
        <w:t>hvis</w:t>
      </w:r>
      <w:proofErr w:type="spellEnd"/>
      <w:r w:rsidRPr="007819B0">
        <w:rPr>
          <w:lang w:val="sv-SE"/>
        </w:rPr>
        <w:t xml:space="preserve"> </w:t>
      </w:r>
      <w:proofErr w:type="spellStart"/>
      <w:r w:rsidRPr="007819B0">
        <w:rPr>
          <w:lang w:val="sv-SE"/>
        </w:rPr>
        <w:t>mellem</w:t>
      </w:r>
      <w:proofErr w:type="spellEnd"/>
      <w:r w:rsidRPr="007819B0">
        <w:rPr>
          <w:lang w:val="sv-SE"/>
        </w:rPr>
        <w:t xml:space="preserve"> </w:t>
      </w:r>
      <w:proofErr w:type="spellStart"/>
      <w:r w:rsidRPr="007819B0">
        <w:rPr>
          <w:lang w:val="sv-SE"/>
        </w:rPr>
        <w:t>Naichen</w:t>
      </w:r>
      <w:proofErr w:type="spellEnd"/>
      <w:r w:rsidRPr="007819B0">
        <w:rPr>
          <w:lang w:val="sv-SE"/>
        </w:rPr>
        <w:t xml:space="preserve"> </w:t>
      </w:r>
      <w:proofErr w:type="spellStart"/>
      <w:r w:rsidRPr="007819B0">
        <w:rPr>
          <w:lang w:val="sv-SE"/>
        </w:rPr>
        <w:t>af</w:t>
      </w:r>
      <w:proofErr w:type="spellEnd"/>
      <w:r w:rsidRPr="007819B0">
        <w:rPr>
          <w:lang w:val="sv-SE"/>
        </w:rPr>
        <w:t xml:space="preserve"> </w:t>
      </w:r>
      <w:proofErr w:type="spellStart"/>
      <w:r w:rsidRPr="007819B0">
        <w:rPr>
          <w:lang w:val="sv-SE"/>
        </w:rPr>
        <w:t>Tanjour</w:t>
      </w:r>
      <w:proofErr w:type="spellEnd"/>
      <w:r w:rsidRPr="007819B0">
        <w:rPr>
          <w:lang w:val="sv-SE"/>
        </w:rPr>
        <w:t xml:space="preserve"> </w:t>
      </w:r>
      <w:proofErr w:type="spellStart"/>
      <w:r w:rsidRPr="007819B0">
        <w:rPr>
          <w:lang w:val="sv-SE"/>
        </w:rPr>
        <w:t>og</w:t>
      </w:r>
      <w:proofErr w:type="spellEnd"/>
      <w:r w:rsidRPr="007819B0">
        <w:rPr>
          <w:lang w:val="sv-SE"/>
        </w:rPr>
        <w:t xml:space="preserve"> os </w:t>
      </w:r>
      <w:proofErr w:type="spellStart"/>
      <w:r w:rsidRPr="007819B0">
        <w:rPr>
          <w:lang w:val="sv-SE"/>
        </w:rPr>
        <w:t>forefalden</w:t>
      </w:r>
      <w:proofErr w:type="spellEnd"/>
      <w:r w:rsidRPr="007819B0">
        <w:rPr>
          <w:lang w:val="sv-SE"/>
        </w:rPr>
        <w:t xml:space="preserve"> er, sa avel som alt </w:t>
      </w:r>
      <w:proofErr w:type="spellStart"/>
      <w:r w:rsidRPr="007819B0">
        <w:rPr>
          <w:lang w:val="sv-SE"/>
        </w:rPr>
        <w:t>hvis</w:t>
      </w:r>
      <w:proofErr w:type="spellEnd"/>
      <w:r w:rsidRPr="007819B0">
        <w:rPr>
          <w:lang w:val="sv-SE"/>
        </w:rPr>
        <w:t xml:space="preserve"> den </w:t>
      </w:r>
      <w:proofErr w:type="spellStart"/>
      <w:r w:rsidRPr="007819B0">
        <w:rPr>
          <w:lang w:val="sv-SE"/>
        </w:rPr>
        <w:t>Coromandelske</w:t>
      </w:r>
      <w:proofErr w:type="spellEnd"/>
      <w:r w:rsidRPr="007819B0">
        <w:rPr>
          <w:lang w:val="sv-SE"/>
        </w:rPr>
        <w:t xml:space="preserve"> </w:t>
      </w:r>
      <w:proofErr w:type="spellStart"/>
      <w:r w:rsidRPr="007819B0">
        <w:rPr>
          <w:lang w:val="sv-SE"/>
        </w:rPr>
        <w:t>Kiøbmandskap</w:t>
      </w:r>
      <w:proofErr w:type="spellEnd"/>
      <w:r w:rsidRPr="007819B0">
        <w:rPr>
          <w:lang w:val="sv-SE"/>
        </w:rPr>
        <w:t xml:space="preserve"> </w:t>
      </w:r>
      <w:proofErr w:type="spellStart"/>
      <w:r w:rsidRPr="007819B0">
        <w:rPr>
          <w:lang w:val="sv-SE"/>
        </w:rPr>
        <w:t>anlanger</w:t>
      </w:r>
      <w:proofErr w:type="spellEnd"/>
      <w:r w:rsidRPr="007819B0">
        <w:rPr>
          <w:lang w:val="sv-SE"/>
        </w:rPr>
        <w:t xml:space="preserve">”, The </w:t>
      </w:r>
      <w:proofErr w:type="spellStart"/>
      <w:r w:rsidRPr="007819B0">
        <w:rPr>
          <w:lang w:val="sv-SE"/>
        </w:rPr>
        <w:t>Danish</w:t>
      </w:r>
      <w:proofErr w:type="spellEnd"/>
      <w:r w:rsidRPr="007819B0">
        <w:rPr>
          <w:lang w:val="sv-SE"/>
        </w:rPr>
        <w:t xml:space="preserve"> State </w:t>
      </w:r>
      <w:proofErr w:type="spellStart"/>
      <w:r w:rsidRPr="007819B0">
        <w:rPr>
          <w:lang w:val="sv-SE"/>
        </w:rPr>
        <w:t>Archives</w:t>
      </w:r>
      <w:proofErr w:type="spellEnd"/>
      <w:r w:rsidRPr="007819B0">
        <w:rPr>
          <w:lang w:val="sv-SE"/>
        </w:rPr>
        <w:t xml:space="preserve">. </w:t>
      </w:r>
      <w:proofErr w:type="spellStart"/>
      <w:r w:rsidRPr="007819B0">
        <w:rPr>
          <w:lang w:val="sv-SE"/>
        </w:rPr>
        <w:t>Printed</w:t>
      </w:r>
      <w:proofErr w:type="spellEnd"/>
      <w:r w:rsidRPr="007819B0">
        <w:rPr>
          <w:lang w:val="sv-SE"/>
        </w:rPr>
        <w:t xml:space="preserve"> in </w:t>
      </w:r>
      <w:proofErr w:type="spellStart"/>
      <w:r w:rsidRPr="007819B0">
        <w:rPr>
          <w:lang w:val="sv-SE"/>
        </w:rPr>
        <w:t>Schlegel</w:t>
      </w:r>
      <w:proofErr w:type="spellEnd"/>
      <w:r w:rsidRPr="007819B0">
        <w:rPr>
          <w:lang w:val="sv-SE"/>
        </w:rPr>
        <w:t xml:space="preserve"> 1772.</w:t>
      </w:r>
    </w:p>
  </w:endnote>
  <w:endnote w:id="15">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w:t>
      </w:r>
      <w:proofErr w:type="spellStart"/>
      <w:r w:rsidRPr="007819B0">
        <w:rPr>
          <w:lang w:val="sv-SE"/>
        </w:rPr>
        <w:t>See</w:t>
      </w:r>
      <w:proofErr w:type="spellEnd"/>
      <w:r w:rsidRPr="007819B0">
        <w:rPr>
          <w:lang w:val="sv-SE"/>
        </w:rPr>
        <w:t xml:space="preserve"> </w:t>
      </w:r>
      <w:proofErr w:type="spellStart"/>
      <w:r w:rsidRPr="007819B0">
        <w:rPr>
          <w:lang w:val="sv-SE"/>
        </w:rPr>
        <w:t>Gettorp</w:t>
      </w:r>
      <w:proofErr w:type="spellEnd"/>
      <w:r w:rsidRPr="007819B0">
        <w:rPr>
          <w:lang w:val="sv-SE"/>
        </w:rPr>
        <w:t xml:space="preserve"> 1623.</w:t>
      </w:r>
    </w:p>
  </w:endnote>
  <w:endnote w:id="16">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w:t>
      </w:r>
      <w:r w:rsidRPr="007819B0">
        <w:rPr>
          <w:i/>
          <w:lang w:val="sv-SE"/>
        </w:rPr>
        <w:t xml:space="preserve">Relation </w:t>
      </w:r>
      <w:proofErr w:type="spellStart"/>
      <w:r w:rsidRPr="007819B0">
        <w:rPr>
          <w:i/>
          <w:lang w:val="sv-SE"/>
        </w:rPr>
        <w:t>oc</w:t>
      </w:r>
      <w:proofErr w:type="spellEnd"/>
      <w:r w:rsidRPr="007819B0">
        <w:rPr>
          <w:i/>
          <w:lang w:val="sv-SE"/>
        </w:rPr>
        <w:t xml:space="preserve"> </w:t>
      </w:r>
      <w:proofErr w:type="spellStart"/>
      <w:r w:rsidRPr="007819B0">
        <w:rPr>
          <w:i/>
          <w:lang w:val="sv-SE"/>
        </w:rPr>
        <w:t>wisz</w:t>
      </w:r>
      <w:proofErr w:type="spellEnd"/>
      <w:r w:rsidRPr="007819B0">
        <w:rPr>
          <w:i/>
          <w:lang w:val="sv-SE"/>
        </w:rPr>
        <w:t xml:space="preserve"> </w:t>
      </w:r>
      <w:proofErr w:type="spellStart"/>
      <w:r w:rsidRPr="007819B0">
        <w:rPr>
          <w:i/>
          <w:lang w:val="sv-SE"/>
        </w:rPr>
        <w:t>Berettning</w:t>
      </w:r>
      <w:proofErr w:type="spellEnd"/>
      <w:r w:rsidRPr="007819B0">
        <w:rPr>
          <w:i/>
          <w:lang w:val="sv-SE"/>
        </w:rPr>
        <w:t xml:space="preserve"> </w:t>
      </w:r>
      <w:proofErr w:type="spellStart"/>
      <w:r w:rsidRPr="007819B0">
        <w:rPr>
          <w:i/>
          <w:lang w:val="sv-SE"/>
        </w:rPr>
        <w:t>fra</w:t>
      </w:r>
      <w:proofErr w:type="spellEnd"/>
      <w:r w:rsidRPr="007819B0">
        <w:rPr>
          <w:i/>
          <w:lang w:val="sv-SE"/>
        </w:rPr>
        <w:t xml:space="preserve"> de Danske </w:t>
      </w:r>
      <w:proofErr w:type="spellStart"/>
      <w:r w:rsidRPr="007819B0">
        <w:rPr>
          <w:i/>
          <w:lang w:val="sv-SE"/>
        </w:rPr>
        <w:t>Skibe</w:t>
      </w:r>
      <w:proofErr w:type="spellEnd"/>
      <w:r w:rsidRPr="007819B0">
        <w:rPr>
          <w:i/>
          <w:lang w:val="sv-SE"/>
        </w:rPr>
        <w:t xml:space="preserve">: </w:t>
      </w:r>
      <w:proofErr w:type="spellStart"/>
      <w:r w:rsidRPr="007819B0">
        <w:rPr>
          <w:i/>
          <w:lang w:val="sv-SE"/>
        </w:rPr>
        <w:t>Elpehanten</w:t>
      </w:r>
      <w:proofErr w:type="spellEnd"/>
      <w:r w:rsidRPr="007819B0">
        <w:rPr>
          <w:i/>
          <w:lang w:val="sv-SE"/>
        </w:rPr>
        <w:t xml:space="preserve">, Davis, Christian, </w:t>
      </w:r>
      <w:proofErr w:type="spellStart"/>
      <w:r w:rsidRPr="007819B0">
        <w:rPr>
          <w:i/>
          <w:lang w:val="sv-SE"/>
        </w:rPr>
        <w:t>Kiøbenhaffn</w:t>
      </w:r>
      <w:proofErr w:type="spellEnd"/>
      <w:r w:rsidRPr="007819B0">
        <w:rPr>
          <w:i/>
          <w:lang w:val="sv-SE"/>
        </w:rPr>
        <w:t xml:space="preserve"> </w:t>
      </w:r>
      <w:proofErr w:type="spellStart"/>
      <w:r w:rsidRPr="007819B0">
        <w:rPr>
          <w:i/>
          <w:lang w:val="sv-SE"/>
        </w:rPr>
        <w:t>oc</w:t>
      </w:r>
      <w:proofErr w:type="spellEnd"/>
      <w:r w:rsidRPr="007819B0">
        <w:rPr>
          <w:i/>
          <w:lang w:val="sv-SE"/>
        </w:rPr>
        <w:t xml:space="preserve"> </w:t>
      </w:r>
      <w:proofErr w:type="spellStart"/>
      <w:r w:rsidRPr="007819B0">
        <w:rPr>
          <w:i/>
          <w:lang w:val="sv-SE"/>
        </w:rPr>
        <w:t>Jagten</w:t>
      </w:r>
      <w:proofErr w:type="spellEnd"/>
      <w:r w:rsidRPr="007819B0">
        <w:rPr>
          <w:i/>
          <w:lang w:val="sv-SE"/>
        </w:rPr>
        <w:t xml:space="preserve"> </w:t>
      </w:r>
      <w:proofErr w:type="spellStart"/>
      <w:r w:rsidRPr="007819B0">
        <w:rPr>
          <w:i/>
          <w:lang w:val="sv-SE"/>
        </w:rPr>
        <w:t>Øresund</w:t>
      </w:r>
      <w:proofErr w:type="spellEnd"/>
      <w:r w:rsidRPr="007819B0">
        <w:rPr>
          <w:lang w:val="sv-SE"/>
        </w:rPr>
        <w:t>.</w:t>
      </w:r>
    </w:p>
  </w:endnote>
  <w:endnote w:id="17">
    <w:p w:rsidR="00ED79A7" w:rsidRPr="00D94A1C" w:rsidRDefault="00ED79A7" w:rsidP="00ED79A7">
      <w:pPr>
        <w:pStyle w:val="Slutkommentar"/>
        <w:spacing w:line="360" w:lineRule="auto"/>
        <w:rPr>
          <w:lang w:val="en-US"/>
        </w:rPr>
      </w:pPr>
      <w:r>
        <w:rPr>
          <w:rStyle w:val="Slutkommentarsreferens"/>
        </w:rPr>
        <w:endnoteRef/>
      </w:r>
      <w:r w:rsidRPr="00D94A1C">
        <w:rPr>
          <w:lang w:val="en-US"/>
        </w:rPr>
        <w:t xml:space="preserve"> Tistorph 1661.</w:t>
      </w:r>
    </w:p>
  </w:endnote>
  <w:endnote w:id="18">
    <w:p w:rsidR="00ED79A7" w:rsidRPr="00D94A1C" w:rsidRDefault="00ED79A7" w:rsidP="00ED79A7">
      <w:pPr>
        <w:pStyle w:val="Slutkommentar"/>
        <w:rPr>
          <w:lang w:val="en-US"/>
        </w:rPr>
      </w:pPr>
      <w:r>
        <w:rPr>
          <w:rStyle w:val="Slutkommentarsreferens"/>
        </w:rPr>
        <w:endnoteRef/>
      </w:r>
      <w:r w:rsidRPr="00D94A1C">
        <w:rPr>
          <w:lang w:val="en-US"/>
        </w:rPr>
        <w:t xml:space="preserve"> Cf. Englund 1989, 49–69</w:t>
      </w:r>
    </w:p>
  </w:endnote>
  <w:endnote w:id="19">
    <w:p w:rsidR="00ED79A7" w:rsidRPr="00D94A1C" w:rsidRDefault="00ED79A7" w:rsidP="00ED79A7">
      <w:pPr>
        <w:pStyle w:val="Slutkommentar"/>
        <w:spacing w:line="360" w:lineRule="auto"/>
        <w:rPr>
          <w:lang w:val="en-US"/>
        </w:rPr>
      </w:pPr>
      <w:r>
        <w:rPr>
          <w:rStyle w:val="Slutkommentarsreferens"/>
        </w:rPr>
        <w:endnoteRef/>
      </w:r>
      <w:r w:rsidRPr="00D94A1C">
        <w:rPr>
          <w:lang w:val="en-US"/>
        </w:rPr>
        <w:t xml:space="preserve"> Olsen [1952–53] 1967, 35–41.</w:t>
      </w:r>
    </w:p>
  </w:endnote>
  <w:endnote w:id="20">
    <w:p w:rsidR="00ED79A7" w:rsidRPr="00D94A1C" w:rsidRDefault="00ED79A7" w:rsidP="00ED79A7">
      <w:pPr>
        <w:pStyle w:val="Slutkommentar"/>
        <w:spacing w:line="360" w:lineRule="auto"/>
        <w:rPr>
          <w:lang w:val="en-US"/>
        </w:rPr>
      </w:pPr>
      <w:r>
        <w:rPr>
          <w:rStyle w:val="Slutkommentarsreferens"/>
        </w:rPr>
        <w:endnoteRef/>
      </w:r>
      <w:r w:rsidRPr="00D94A1C">
        <w:rPr>
          <w:lang w:val="en-US"/>
        </w:rPr>
        <w:t xml:space="preserve"> Dayem 2006, 27–29.</w:t>
      </w:r>
    </w:p>
  </w:endnote>
  <w:endnote w:id="21">
    <w:p w:rsidR="00ED79A7" w:rsidRDefault="00ED79A7" w:rsidP="00ED79A7">
      <w:pPr>
        <w:pStyle w:val="Slutkommentar"/>
        <w:spacing w:line="360" w:lineRule="auto"/>
      </w:pPr>
      <w:r>
        <w:rPr>
          <w:rStyle w:val="Slutkommentarsreferens"/>
        </w:rPr>
        <w:endnoteRef/>
      </w:r>
      <w:r>
        <w:t xml:space="preserve"> </w:t>
      </w:r>
      <w:proofErr w:type="spellStart"/>
      <w:proofErr w:type="gramStart"/>
      <w:r>
        <w:t>Tistorph</w:t>
      </w:r>
      <w:proofErr w:type="spellEnd"/>
      <w:r>
        <w:t xml:space="preserve"> 1661, 76.</w:t>
      </w:r>
      <w:proofErr w:type="gramEnd"/>
    </w:p>
  </w:endnote>
  <w:endnote w:id="22">
    <w:p w:rsidR="00ED79A7" w:rsidRDefault="00ED79A7" w:rsidP="00ED79A7">
      <w:pPr>
        <w:pStyle w:val="Slutkommentar"/>
        <w:spacing w:line="360" w:lineRule="auto"/>
      </w:pPr>
      <w:r>
        <w:rPr>
          <w:rStyle w:val="Slutkommentarsreferens"/>
        </w:rPr>
        <w:endnoteRef/>
      </w:r>
      <w:r>
        <w:t xml:space="preserve"> Esther </w:t>
      </w:r>
      <w:proofErr w:type="spellStart"/>
      <w:r>
        <w:t>Fihl</w:t>
      </w:r>
      <w:proofErr w:type="spellEnd"/>
      <w:r>
        <w:t xml:space="preserve">, 1988, 65, has also suggested the role of struggle for power between the Moguls of northern and central India and the smaller states of the south in this context. </w:t>
      </w:r>
    </w:p>
  </w:endnote>
  <w:endnote w:id="23">
    <w:p w:rsidR="00ED79A7" w:rsidRDefault="00ED79A7" w:rsidP="00ED79A7">
      <w:pPr>
        <w:pStyle w:val="Slutkommentar"/>
        <w:spacing w:line="360" w:lineRule="auto"/>
      </w:pPr>
      <w:r>
        <w:rPr>
          <w:rStyle w:val="Slutkommentarsreferens"/>
        </w:rPr>
        <w:endnoteRef/>
      </w:r>
      <w:r>
        <w:t xml:space="preserve"> Regarding gardens see </w:t>
      </w:r>
      <w:proofErr w:type="spellStart"/>
      <w:r>
        <w:t>Tistorph</w:t>
      </w:r>
      <w:proofErr w:type="spellEnd"/>
      <w:r>
        <w:t xml:space="preserve"> 1661, 81.</w:t>
      </w:r>
    </w:p>
  </w:endnote>
  <w:endnote w:id="24">
    <w:p w:rsidR="00ED79A7" w:rsidRDefault="00ED79A7" w:rsidP="00ED79A7">
      <w:pPr>
        <w:pStyle w:val="Slutkommentar"/>
        <w:spacing w:line="360" w:lineRule="auto"/>
      </w:pPr>
      <w:r>
        <w:rPr>
          <w:rStyle w:val="Slutkommentarsreferens"/>
        </w:rPr>
        <w:endnoteRef/>
      </w:r>
      <w:r>
        <w:t xml:space="preserve"> </w:t>
      </w:r>
      <w:proofErr w:type="spellStart"/>
      <w:proofErr w:type="gramStart"/>
      <w:r>
        <w:t>Fihl</w:t>
      </w:r>
      <w:proofErr w:type="spellEnd"/>
      <w:r>
        <w:t xml:space="preserve"> 2009.</w:t>
      </w:r>
      <w:proofErr w:type="gramEnd"/>
    </w:p>
  </w:endnote>
  <w:endnote w:id="25">
    <w:p w:rsidR="00ED79A7" w:rsidRPr="00D94A1C" w:rsidRDefault="00ED79A7" w:rsidP="00ED79A7">
      <w:pPr>
        <w:pStyle w:val="Slutkommentar"/>
        <w:spacing w:line="360" w:lineRule="auto"/>
      </w:pPr>
      <w:r>
        <w:rPr>
          <w:rStyle w:val="Slutkommentarsreferens"/>
        </w:rPr>
        <w:endnoteRef/>
      </w:r>
      <w:r w:rsidRPr="00D94A1C">
        <w:t xml:space="preserve"> Jensen 2010, 149.</w:t>
      </w:r>
    </w:p>
  </w:endnote>
  <w:endnote w:id="26">
    <w:p w:rsidR="00ED79A7" w:rsidRPr="00D94A1C" w:rsidRDefault="00ED79A7" w:rsidP="00ED79A7">
      <w:pPr>
        <w:pStyle w:val="Slutkommentar"/>
        <w:spacing w:line="360" w:lineRule="auto"/>
      </w:pPr>
      <w:r>
        <w:rPr>
          <w:rStyle w:val="Slutkommentarsreferens"/>
        </w:rPr>
        <w:endnoteRef/>
      </w:r>
      <w:r w:rsidRPr="00D94A1C">
        <w:t xml:space="preserve"> Fihl 2009, 29–32.</w:t>
      </w:r>
    </w:p>
  </w:endnote>
  <w:endnote w:id="27">
    <w:p w:rsidR="00ED79A7" w:rsidRPr="00D94A1C" w:rsidRDefault="00ED79A7" w:rsidP="00ED79A7">
      <w:pPr>
        <w:pStyle w:val="Slutkommentar"/>
        <w:spacing w:line="360" w:lineRule="auto"/>
      </w:pPr>
      <w:r>
        <w:rPr>
          <w:rStyle w:val="Slutkommentarsreferens"/>
        </w:rPr>
        <w:endnoteRef/>
      </w:r>
      <w:r w:rsidRPr="00D94A1C">
        <w:t xml:space="preserve"> Fihl 2009, 28, 30–32.</w:t>
      </w:r>
    </w:p>
  </w:endnote>
  <w:endnote w:id="28">
    <w:p w:rsidR="00ED79A7" w:rsidRPr="002B6404" w:rsidRDefault="00ED79A7" w:rsidP="00ED79A7">
      <w:pPr>
        <w:pStyle w:val="Slutkommentar"/>
        <w:spacing w:line="360" w:lineRule="auto"/>
        <w:rPr>
          <w:lang w:val="en-US"/>
        </w:rPr>
      </w:pPr>
      <w:r>
        <w:rPr>
          <w:rStyle w:val="Slutkommentarsreferens"/>
        </w:rPr>
        <w:endnoteRef/>
      </w:r>
      <w:r w:rsidRPr="002B6404">
        <w:rPr>
          <w:lang w:val="en-US"/>
        </w:rPr>
        <w:t xml:space="preserve"> Tistorph 1661, 76.</w:t>
      </w:r>
    </w:p>
  </w:endnote>
  <w:endnote w:id="29">
    <w:p w:rsidR="00ED79A7" w:rsidRPr="002B6404" w:rsidRDefault="00ED79A7" w:rsidP="00ED79A7">
      <w:pPr>
        <w:pStyle w:val="Slutkommentar"/>
        <w:spacing w:line="360" w:lineRule="auto"/>
        <w:rPr>
          <w:lang w:val="en-US"/>
        </w:rPr>
      </w:pPr>
      <w:r>
        <w:rPr>
          <w:rStyle w:val="Slutkommentarsreferens"/>
        </w:rPr>
        <w:endnoteRef/>
      </w:r>
      <w:r w:rsidRPr="002B6404">
        <w:rPr>
          <w:lang w:val="en-US"/>
        </w:rPr>
        <w:t xml:space="preserve"> </w:t>
      </w:r>
      <w:proofErr w:type="spellStart"/>
      <w:proofErr w:type="gramStart"/>
      <w:r w:rsidRPr="002B6404">
        <w:rPr>
          <w:lang w:val="en-US"/>
        </w:rPr>
        <w:t>Tistorph</w:t>
      </w:r>
      <w:proofErr w:type="spellEnd"/>
      <w:r w:rsidRPr="002B6404">
        <w:rPr>
          <w:lang w:val="en-US"/>
        </w:rPr>
        <w:t xml:space="preserve"> 1661, 82.</w:t>
      </w:r>
      <w:proofErr w:type="gramEnd"/>
    </w:p>
  </w:endnote>
  <w:endnote w:id="30">
    <w:p w:rsidR="00ED79A7" w:rsidRDefault="00ED79A7" w:rsidP="00ED79A7">
      <w:pPr>
        <w:pStyle w:val="Slutkommentar"/>
        <w:spacing w:line="360" w:lineRule="auto"/>
      </w:pPr>
      <w:r>
        <w:rPr>
          <w:rStyle w:val="Slutkommentarsreferens"/>
        </w:rPr>
        <w:endnoteRef/>
      </w:r>
      <w:r>
        <w:t xml:space="preserve"> </w:t>
      </w:r>
      <w:proofErr w:type="gramStart"/>
      <w:r>
        <w:t xml:space="preserve">Schlegel 1772, 126; </w:t>
      </w:r>
      <w:proofErr w:type="spellStart"/>
      <w:r>
        <w:t>Oláfsson</w:t>
      </w:r>
      <w:proofErr w:type="spellEnd"/>
      <w:r>
        <w:t xml:space="preserve"> 1931, 25.</w:t>
      </w:r>
      <w:proofErr w:type="gramEnd"/>
    </w:p>
  </w:endnote>
  <w:endnote w:id="31">
    <w:p w:rsidR="00ED79A7" w:rsidRDefault="00ED79A7" w:rsidP="00ED79A7">
      <w:pPr>
        <w:pStyle w:val="Slutkommentar"/>
        <w:spacing w:line="360" w:lineRule="auto"/>
      </w:pPr>
      <w:r>
        <w:rPr>
          <w:rStyle w:val="Slutkommentarsreferens"/>
        </w:rPr>
        <w:endnoteRef/>
      </w:r>
      <w:r>
        <w:t xml:space="preserve"> </w:t>
      </w:r>
      <w:proofErr w:type="spellStart"/>
      <w:r>
        <w:t>Engberg</w:t>
      </w:r>
      <w:proofErr w:type="spellEnd"/>
      <w:r>
        <w:t xml:space="preserve"> unpublished; </w:t>
      </w:r>
      <w:proofErr w:type="spellStart"/>
      <w:r>
        <w:t>Engberg</w:t>
      </w:r>
      <w:proofErr w:type="spellEnd"/>
      <w:r>
        <w:t xml:space="preserve"> &amp; Subramanian unpublished.</w:t>
      </w:r>
    </w:p>
  </w:endnote>
  <w:endnote w:id="32">
    <w:p w:rsidR="00ED79A7" w:rsidRDefault="00ED79A7" w:rsidP="00ED79A7">
      <w:pPr>
        <w:pStyle w:val="Slutkommentar"/>
        <w:spacing w:line="360" w:lineRule="auto"/>
      </w:pPr>
      <w:r>
        <w:rPr>
          <w:rStyle w:val="Slutkommentarsreferens"/>
        </w:rPr>
        <w:endnoteRef/>
      </w:r>
      <w:r>
        <w:t xml:space="preserve"> </w:t>
      </w:r>
      <w:proofErr w:type="spellStart"/>
      <w:r>
        <w:t>Engberg</w:t>
      </w:r>
      <w:proofErr w:type="spellEnd"/>
      <w:r>
        <w:t xml:space="preserve"> unpublished, 10.</w:t>
      </w:r>
    </w:p>
  </w:endnote>
  <w:endnote w:id="33">
    <w:p w:rsidR="00ED79A7" w:rsidRDefault="00ED79A7" w:rsidP="00ED79A7">
      <w:pPr>
        <w:pStyle w:val="Slutkommentar"/>
        <w:spacing w:line="360" w:lineRule="auto"/>
      </w:pPr>
      <w:r>
        <w:rPr>
          <w:rStyle w:val="Slutkommentarsreferens"/>
        </w:rPr>
        <w:endnoteRef/>
      </w:r>
      <w:r>
        <w:t xml:space="preserve"> </w:t>
      </w:r>
      <w:proofErr w:type="gramStart"/>
      <w:r>
        <w:t>Schlegel 1772, 126.</w:t>
      </w:r>
      <w:proofErr w:type="gramEnd"/>
    </w:p>
  </w:endnote>
  <w:endnote w:id="34">
    <w:p w:rsidR="00ED79A7" w:rsidRDefault="00ED79A7" w:rsidP="00ED79A7">
      <w:pPr>
        <w:pStyle w:val="Slutkommentar"/>
        <w:spacing w:line="360" w:lineRule="auto"/>
      </w:pPr>
      <w:r>
        <w:rPr>
          <w:rStyle w:val="Slutkommentarsreferens"/>
        </w:rPr>
        <w:endnoteRef/>
      </w:r>
      <w:r>
        <w:t xml:space="preserve"> Cf. Evans 1990, 655–57; </w:t>
      </w:r>
      <w:proofErr w:type="spellStart"/>
      <w:r>
        <w:t>Gosden</w:t>
      </w:r>
      <w:proofErr w:type="spellEnd"/>
      <w:r>
        <w:t xml:space="preserve"> 2004, 25–30.</w:t>
      </w:r>
    </w:p>
  </w:endnote>
  <w:endnote w:id="35">
    <w:p w:rsidR="00ED79A7" w:rsidRDefault="00ED79A7" w:rsidP="00ED79A7">
      <w:pPr>
        <w:pStyle w:val="Slutkommentar"/>
        <w:spacing w:line="360" w:lineRule="auto"/>
      </w:pPr>
      <w:r>
        <w:rPr>
          <w:rStyle w:val="Slutkommentarsreferens"/>
        </w:rPr>
        <w:endnoteRef/>
      </w:r>
      <w:r>
        <w:t xml:space="preserve"> In the excavations of the northern moat just outside </w:t>
      </w:r>
      <w:proofErr w:type="spellStart"/>
      <w:r>
        <w:t>Dansborg</w:t>
      </w:r>
      <w:proofErr w:type="spellEnd"/>
      <w:r>
        <w:t xml:space="preserve"> an opium pipe head was found, </w:t>
      </w:r>
      <w:proofErr w:type="spellStart"/>
      <w:r>
        <w:t>Engberg</w:t>
      </w:r>
      <w:proofErr w:type="spellEnd"/>
      <w:r>
        <w:t xml:space="preserve"> &amp; Subramanian unpublished 12. Cf. unpublished conference paper by Neil Price 2012.</w:t>
      </w:r>
    </w:p>
  </w:endnote>
  <w:endnote w:id="36">
    <w:p w:rsidR="00ED79A7" w:rsidRDefault="00ED79A7" w:rsidP="00ED79A7">
      <w:pPr>
        <w:pStyle w:val="Slutkommentar"/>
        <w:spacing w:line="360" w:lineRule="auto"/>
      </w:pPr>
      <w:r>
        <w:rPr>
          <w:rStyle w:val="Slutkommentarsreferens"/>
        </w:rPr>
        <w:endnoteRef/>
      </w:r>
      <w:r>
        <w:t xml:space="preserve"> Cf. Jensen 2010, 147–49.</w:t>
      </w:r>
    </w:p>
  </w:endnote>
  <w:endnote w:id="37">
    <w:p w:rsidR="00ED79A7" w:rsidRDefault="00ED79A7" w:rsidP="00ED79A7">
      <w:pPr>
        <w:pStyle w:val="Slutkommentar"/>
        <w:spacing w:line="360" w:lineRule="auto"/>
      </w:pPr>
      <w:r>
        <w:rPr>
          <w:rStyle w:val="Slutkommentarsreferens"/>
        </w:rPr>
        <w:endnoteRef/>
      </w:r>
      <w:r>
        <w:t xml:space="preserve"> </w:t>
      </w:r>
      <w:proofErr w:type="spellStart"/>
      <w:proofErr w:type="gramStart"/>
      <w:r>
        <w:t>Lemée</w:t>
      </w:r>
      <w:proofErr w:type="spellEnd"/>
      <w:r>
        <w:t xml:space="preserve"> 2006, 230.</w:t>
      </w:r>
      <w:proofErr w:type="gramEnd"/>
    </w:p>
  </w:endnote>
  <w:endnote w:id="38">
    <w:p w:rsidR="00ED79A7" w:rsidRDefault="00ED79A7" w:rsidP="00ED79A7">
      <w:pPr>
        <w:pStyle w:val="Slutkommentar"/>
        <w:spacing w:line="360" w:lineRule="auto"/>
      </w:pPr>
      <w:r>
        <w:rPr>
          <w:rStyle w:val="Slutkommentarsreferens"/>
        </w:rPr>
        <w:endnoteRef/>
      </w:r>
      <w:r>
        <w:t xml:space="preserve"> </w:t>
      </w:r>
      <w:proofErr w:type="spellStart"/>
      <w:proofErr w:type="gramStart"/>
      <w:r>
        <w:t>Lemée</w:t>
      </w:r>
      <w:proofErr w:type="spellEnd"/>
      <w:r>
        <w:t xml:space="preserve"> 2006, 15–6.</w:t>
      </w:r>
      <w:proofErr w:type="gramEnd"/>
    </w:p>
  </w:endnote>
  <w:endnote w:id="39">
    <w:p w:rsidR="00ED79A7" w:rsidRDefault="00ED79A7" w:rsidP="00ED79A7">
      <w:pPr>
        <w:pStyle w:val="Slutkommentar"/>
        <w:spacing w:line="360" w:lineRule="auto"/>
      </w:pPr>
      <w:r>
        <w:rPr>
          <w:rStyle w:val="Slutkommentarsreferens"/>
        </w:rPr>
        <w:endnoteRef/>
      </w:r>
      <w:r>
        <w:t xml:space="preserve"> </w:t>
      </w:r>
      <w:proofErr w:type="spellStart"/>
      <w:proofErr w:type="gramStart"/>
      <w:r>
        <w:t>Lemée</w:t>
      </w:r>
      <w:proofErr w:type="spellEnd"/>
      <w:r>
        <w:t xml:space="preserve"> 2006, 229.</w:t>
      </w:r>
      <w:proofErr w:type="gramEnd"/>
    </w:p>
  </w:endnote>
  <w:endnote w:id="40">
    <w:p w:rsidR="00ED79A7" w:rsidRDefault="00ED79A7" w:rsidP="00ED79A7">
      <w:pPr>
        <w:pStyle w:val="Slutkommentar"/>
        <w:spacing w:line="360" w:lineRule="auto"/>
      </w:pPr>
      <w:r>
        <w:rPr>
          <w:rStyle w:val="Slutkommentarsreferens"/>
        </w:rPr>
        <w:endnoteRef/>
      </w:r>
      <w:r>
        <w:t xml:space="preserve"> </w:t>
      </w:r>
      <w:proofErr w:type="gramStart"/>
      <w:r>
        <w:t>Nordin 2012.</w:t>
      </w:r>
      <w:proofErr w:type="gramEnd"/>
    </w:p>
  </w:endnote>
  <w:endnote w:id="41">
    <w:p w:rsidR="00ED79A7" w:rsidRDefault="00ED79A7" w:rsidP="00ED79A7">
      <w:pPr>
        <w:pStyle w:val="Slutkommentar"/>
        <w:spacing w:line="360" w:lineRule="auto"/>
      </w:pPr>
      <w:r>
        <w:rPr>
          <w:rStyle w:val="Slutkommentarsreferens"/>
        </w:rPr>
        <w:endnoteRef/>
      </w:r>
      <w:r>
        <w:t xml:space="preserve"> Flynn &amp; </w:t>
      </w:r>
      <w:proofErr w:type="spellStart"/>
      <w:r>
        <w:t>Giráldez</w:t>
      </w:r>
      <w:proofErr w:type="spellEnd"/>
      <w:r>
        <w:t xml:space="preserve"> 1995; see also </w:t>
      </w:r>
      <w:proofErr w:type="spellStart"/>
      <w:r>
        <w:t>Brading</w:t>
      </w:r>
      <w:proofErr w:type="spellEnd"/>
      <w:r>
        <w:t xml:space="preserve"> &amp; Cross 1972.</w:t>
      </w:r>
    </w:p>
  </w:endnote>
  <w:endnote w:id="42">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Moen 1967, 23.</w:t>
      </w:r>
    </w:p>
  </w:endnote>
  <w:endnote w:id="43">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Moen 1967, 26.</w:t>
      </w:r>
    </w:p>
  </w:endnote>
  <w:endnote w:id="44">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Moen 1967, 37.</w:t>
      </w:r>
    </w:p>
  </w:endnote>
  <w:endnote w:id="45">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Moen 1967, 33.</w:t>
      </w:r>
    </w:p>
  </w:endnote>
  <w:endnote w:id="46">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w:t>
      </w:r>
      <w:proofErr w:type="spellStart"/>
      <w:r w:rsidRPr="007819B0">
        <w:rPr>
          <w:lang w:val="sv-SE"/>
        </w:rPr>
        <w:t>Bergwitz</w:t>
      </w:r>
      <w:proofErr w:type="spellEnd"/>
      <w:r w:rsidRPr="007819B0">
        <w:rPr>
          <w:lang w:val="sv-SE"/>
        </w:rPr>
        <w:t xml:space="preserve"> 1924, 11.</w:t>
      </w:r>
    </w:p>
  </w:endnote>
  <w:endnote w:id="47">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Moen 1967, 34.</w:t>
      </w:r>
    </w:p>
  </w:endnote>
  <w:endnote w:id="48">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Moen 1967, 37.</w:t>
      </w:r>
    </w:p>
  </w:endnote>
  <w:endnote w:id="49">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NBL </w:t>
      </w:r>
      <w:r w:rsidRPr="007819B0">
        <w:rPr>
          <w:i/>
          <w:lang w:val="sv-SE"/>
        </w:rPr>
        <w:t>Gjedde.</w:t>
      </w:r>
    </w:p>
  </w:endnote>
  <w:endnote w:id="50">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w:t>
      </w:r>
      <w:proofErr w:type="spellStart"/>
      <w:r w:rsidRPr="007819B0">
        <w:rPr>
          <w:lang w:val="sv-SE"/>
        </w:rPr>
        <w:t>Eriksdotter</w:t>
      </w:r>
      <w:proofErr w:type="spellEnd"/>
      <w:r w:rsidRPr="007819B0">
        <w:rPr>
          <w:lang w:val="sv-SE"/>
        </w:rPr>
        <w:t xml:space="preserve"> 2013.</w:t>
      </w:r>
    </w:p>
  </w:endnote>
  <w:endnote w:id="51">
    <w:p w:rsidR="00ED79A7" w:rsidRPr="00D94A1C" w:rsidRDefault="00ED79A7" w:rsidP="00ED79A7">
      <w:pPr>
        <w:pStyle w:val="Slutkommentar"/>
        <w:spacing w:line="360" w:lineRule="auto"/>
        <w:rPr>
          <w:lang w:val="en-US"/>
        </w:rPr>
      </w:pPr>
      <w:r>
        <w:rPr>
          <w:rStyle w:val="Slutkommentarsreferens"/>
        </w:rPr>
        <w:endnoteRef/>
      </w:r>
      <w:r w:rsidRPr="00D94A1C">
        <w:rPr>
          <w:lang w:val="en-US"/>
        </w:rPr>
        <w:t xml:space="preserve"> Moen 1967. 101–2. </w:t>
      </w:r>
    </w:p>
  </w:endnote>
  <w:endnote w:id="52">
    <w:p w:rsidR="00ED79A7" w:rsidRPr="00D94A1C" w:rsidRDefault="00ED79A7" w:rsidP="00ED79A7">
      <w:pPr>
        <w:pStyle w:val="Slutkommentar"/>
        <w:spacing w:line="360" w:lineRule="auto"/>
        <w:rPr>
          <w:lang w:val="en-US"/>
        </w:rPr>
      </w:pPr>
      <w:r>
        <w:rPr>
          <w:rStyle w:val="Slutkommentarsreferens"/>
        </w:rPr>
        <w:endnoteRef/>
      </w:r>
      <w:r w:rsidRPr="00D94A1C">
        <w:rPr>
          <w:lang w:val="en-US"/>
        </w:rPr>
        <w:t xml:space="preserve"> Cf. Berg 1991; Berg 1994; also Berg </w:t>
      </w:r>
      <w:r w:rsidRPr="00D94A1C">
        <w:rPr>
          <w:i/>
          <w:iCs/>
          <w:lang w:val="en-US"/>
        </w:rPr>
        <w:t>et al</w:t>
      </w:r>
      <w:r w:rsidRPr="00D94A1C">
        <w:rPr>
          <w:lang w:val="en-US"/>
        </w:rPr>
        <w:t>. 1997.</w:t>
      </w:r>
    </w:p>
  </w:endnote>
  <w:endnote w:id="53">
    <w:p w:rsidR="00ED79A7" w:rsidRPr="009E5791" w:rsidRDefault="00ED79A7" w:rsidP="00ED79A7">
      <w:pPr>
        <w:pStyle w:val="Slutkommentar"/>
        <w:spacing w:line="360" w:lineRule="auto"/>
        <w:rPr>
          <w:lang w:val="en-US"/>
        </w:rPr>
      </w:pPr>
      <w:r>
        <w:rPr>
          <w:rStyle w:val="Slutkommentarsreferens"/>
        </w:rPr>
        <w:endnoteRef/>
      </w:r>
      <w:r w:rsidRPr="009E5791">
        <w:rPr>
          <w:lang w:val="en-US"/>
        </w:rPr>
        <w:t xml:space="preserve"> Mrozowski 1999.</w:t>
      </w:r>
    </w:p>
  </w:endnote>
  <w:endnote w:id="54">
    <w:p w:rsidR="00ED79A7" w:rsidRPr="009E5791" w:rsidRDefault="00ED79A7" w:rsidP="00ED79A7">
      <w:pPr>
        <w:pStyle w:val="Slutkommentar"/>
        <w:spacing w:line="360" w:lineRule="auto"/>
        <w:rPr>
          <w:lang w:val="en-US"/>
        </w:rPr>
      </w:pPr>
      <w:r>
        <w:rPr>
          <w:rStyle w:val="Slutkommentarsreferens"/>
        </w:rPr>
        <w:endnoteRef/>
      </w:r>
      <w:r w:rsidR="009E5791" w:rsidRPr="009E5791">
        <w:rPr>
          <w:lang w:val="en-US"/>
        </w:rPr>
        <w:t xml:space="preserve"> Foster 1999; see also Nordin forthcoming.</w:t>
      </w:r>
    </w:p>
  </w:endnote>
  <w:endnote w:id="55">
    <w:p w:rsidR="00ED79A7" w:rsidRPr="007819B0" w:rsidRDefault="00ED79A7" w:rsidP="00ED79A7">
      <w:pPr>
        <w:pStyle w:val="Slutkommentar"/>
        <w:spacing w:line="360" w:lineRule="auto"/>
        <w:rPr>
          <w:lang w:val="sv-SE"/>
        </w:rPr>
      </w:pPr>
      <w:r>
        <w:rPr>
          <w:rStyle w:val="Slutkommentarsreferens"/>
        </w:rPr>
        <w:endnoteRef/>
      </w:r>
      <w:r w:rsidRPr="007819B0">
        <w:rPr>
          <w:lang w:val="sv-SE"/>
        </w:rPr>
        <w:t xml:space="preserve"> NBL </w:t>
      </w:r>
      <w:r w:rsidRPr="007819B0">
        <w:rPr>
          <w:i/>
          <w:lang w:val="sv-SE"/>
        </w:rPr>
        <w:t>Gjedde.</w:t>
      </w:r>
    </w:p>
  </w:endnote>
  <w:endnote w:id="56">
    <w:p w:rsidR="00ED79A7" w:rsidRDefault="00ED79A7" w:rsidP="00ED79A7">
      <w:pPr>
        <w:pStyle w:val="Slutkommentar"/>
        <w:spacing w:line="360" w:lineRule="auto"/>
      </w:pPr>
      <w:r>
        <w:rPr>
          <w:rStyle w:val="Slutkommentarsreferens"/>
        </w:rPr>
        <w:endnoteRef/>
      </w:r>
      <w:r>
        <w:t xml:space="preserve"> </w:t>
      </w:r>
      <w:proofErr w:type="gramStart"/>
      <w:r>
        <w:t>Moen 1967, 47.</w:t>
      </w:r>
      <w:proofErr w:type="gramEnd"/>
    </w:p>
  </w:endnote>
  <w:endnote w:id="57">
    <w:p w:rsidR="00ED79A7" w:rsidRPr="0052783C" w:rsidRDefault="00ED79A7" w:rsidP="00ED79A7">
      <w:pPr>
        <w:pStyle w:val="Slutkommentar"/>
        <w:rPr>
          <w:lang w:val="en-US"/>
        </w:rPr>
      </w:pPr>
      <w:r>
        <w:rPr>
          <w:rStyle w:val="Slutkommentarsreferens"/>
        </w:rPr>
        <w:endnoteRef/>
      </w:r>
      <w:r>
        <w:t xml:space="preserve"> </w:t>
      </w:r>
      <w:proofErr w:type="spellStart"/>
      <w:r>
        <w:t>Bromé</w:t>
      </w:r>
      <w:proofErr w:type="spellEnd"/>
      <w:r>
        <w:t xml:space="preserve"> 1923, 232–68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7501"/>
      <w:docPartObj>
        <w:docPartGallery w:val="Page Numbers (Bottom of Page)"/>
        <w:docPartUnique/>
      </w:docPartObj>
    </w:sdtPr>
    <w:sdtEndPr/>
    <w:sdtContent>
      <w:p w:rsidR="008F4697" w:rsidRDefault="008F4697">
        <w:pPr>
          <w:pStyle w:val="Sidfot"/>
          <w:jc w:val="center"/>
        </w:pPr>
        <w:r>
          <w:fldChar w:fldCharType="begin"/>
        </w:r>
        <w:r>
          <w:instrText>PAGE   \* MERGEFORMAT</w:instrText>
        </w:r>
        <w:r>
          <w:fldChar w:fldCharType="separate"/>
        </w:r>
        <w:r w:rsidR="00D94A1C">
          <w:rPr>
            <w:noProof/>
          </w:rPr>
          <w:t>1</w:t>
        </w:r>
        <w:r>
          <w:fldChar w:fldCharType="end"/>
        </w:r>
      </w:p>
    </w:sdtContent>
  </w:sdt>
  <w:p w:rsidR="008F4697" w:rsidRDefault="008F469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408" w:rsidRDefault="00844408" w:rsidP="00ED79A7">
      <w:pPr>
        <w:spacing w:after="0" w:line="240" w:lineRule="auto"/>
      </w:pPr>
      <w:r>
        <w:separator/>
      </w:r>
    </w:p>
  </w:footnote>
  <w:footnote w:type="continuationSeparator" w:id="0">
    <w:p w:rsidR="00844408" w:rsidRDefault="00844408" w:rsidP="00ED79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A7"/>
    <w:rsid w:val="00022B8F"/>
    <w:rsid w:val="00030C2F"/>
    <w:rsid w:val="0004210E"/>
    <w:rsid w:val="00047581"/>
    <w:rsid w:val="00052E2F"/>
    <w:rsid w:val="00071CC4"/>
    <w:rsid w:val="00092C70"/>
    <w:rsid w:val="000961C4"/>
    <w:rsid w:val="00096709"/>
    <w:rsid w:val="000B4209"/>
    <w:rsid w:val="000C0439"/>
    <w:rsid w:val="000D06D3"/>
    <w:rsid w:val="000D7258"/>
    <w:rsid w:val="00107724"/>
    <w:rsid w:val="001242A2"/>
    <w:rsid w:val="00137B8B"/>
    <w:rsid w:val="00153041"/>
    <w:rsid w:val="00157D4F"/>
    <w:rsid w:val="00172AA8"/>
    <w:rsid w:val="00184345"/>
    <w:rsid w:val="00186A73"/>
    <w:rsid w:val="001872D2"/>
    <w:rsid w:val="001973F2"/>
    <w:rsid w:val="001A3D81"/>
    <w:rsid w:val="001A719D"/>
    <w:rsid w:val="001B680C"/>
    <w:rsid w:val="001C463F"/>
    <w:rsid w:val="001C526A"/>
    <w:rsid w:val="001D42F0"/>
    <w:rsid w:val="001F42EB"/>
    <w:rsid w:val="00200D52"/>
    <w:rsid w:val="0021321D"/>
    <w:rsid w:val="00225A4A"/>
    <w:rsid w:val="002854A7"/>
    <w:rsid w:val="00291145"/>
    <w:rsid w:val="0029474B"/>
    <w:rsid w:val="00296FC3"/>
    <w:rsid w:val="002A09D7"/>
    <w:rsid w:val="002B6404"/>
    <w:rsid w:val="002D5D5B"/>
    <w:rsid w:val="002D613A"/>
    <w:rsid w:val="00320771"/>
    <w:rsid w:val="00352515"/>
    <w:rsid w:val="00373D16"/>
    <w:rsid w:val="00374C5A"/>
    <w:rsid w:val="00381982"/>
    <w:rsid w:val="0038734A"/>
    <w:rsid w:val="00387D80"/>
    <w:rsid w:val="003908AA"/>
    <w:rsid w:val="003E5C03"/>
    <w:rsid w:val="003F2E90"/>
    <w:rsid w:val="004131AD"/>
    <w:rsid w:val="00413D2A"/>
    <w:rsid w:val="00427454"/>
    <w:rsid w:val="0043366D"/>
    <w:rsid w:val="00437064"/>
    <w:rsid w:val="00444DE6"/>
    <w:rsid w:val="004620F9"/>
    <w:rsid w:val="00481E9A"/>
    <w:rsid w:val="004878F2"/>
    <w:rsid w:val="00491BD5"/>
    <w:rsid w:val="004D1ABA"/>
    <w:rsid w:val="004D471E"/>
    <w:rsid w:val="004F0E65"/>
    <w:rsid w:val="004F3488"/>
    <w:rsid w:val="004F45DE"/>
    <w:rsid w:val="00527559"/>
    <w:rsid w:val="0052783C"/>
    <w:rsid w:val="00557C8C"/>
    <w:rsid w:val="005A1767"/>
    <w:rsid w:val="005B7E20"/>
    <w:rsid w:val="005E6A11"/>
    <w:rsid w:val="005F22EF"/>
    <w:rsid w:val="00611418"/>
    <w:rsid w:val="00611F02"/>
    <w:rsid w:val="006554F9"/>
    <w:rsid w:val="00663467"/>
    <w:rsid w:val="006652A0"/>
    <w:rsid w:val="006749A6"/>
    <w:rsid w:val="00674A64"/>
    <w:rsid w:val="006A1DC5"/>
    <w:rsid w:val="006A49F4"/>
    <w:rsid w:val="006C6565"/>
    <w:rsid w:val="006C6A34"/>
    <w:rsid w:val="00726F92"/>
    <w:rsid w:val="00727DBC"/>
    <w:rsid w:val="00730196"/>
    <w:rsid w:val="00750095"/>
    <w:rsid w:val="00764FD8"/>
    <w:rsid w:val="0079112C"/>
    <w:rsid w:val="00796F0F"/>
    <w:rsid w:val="007A6F5A"/>
    <w:rsid w:val="007B35A7"/>
    <w:rsid w:val="007B57D7"/>
    <w:rsid w:val="007C5385"/>
    <w:rsid w:val="007D2703"/>
    <w:rsid w:val="007E333C"/>
    <w:rsid w:val="008002D9"/>
    <w:rsid w:val="008009DD"/>
    <w:rsid w:val="00800C58"/>
    <w:rsid w:val="00803630"/>
    <w:rsid w:val="00804AC9"/>
    <w:rsid w:val="00826C50"/>
    <w:rsid w:val="0083485B"/>
    <w:rsid w:val="00841E37"/>
    <w:rsid w:val="00842276"/>
    <w:rsid w:val="00844408"/>
    <w:rsid w:val="0085590A"/>
    <w:rsid w:val="00855EFA"/>
    <w:rsid w:val="008802DD"/>
    <w:rsid w:val="00883513"/>
    <w:rsid w:val="008868BC"/>
    <w:rsid w:val="008A1430"/>
    <w:rsid w:val="008A148B"/>
    <w:rsid w:val="008D5C78"/>
    <w:rsid w:val="008F4697"/>
    <w:rsid w:val="0090189A"/>
    <w:rsid w:val="00962679"/>
    <w:rsid w:val="009661E4"/>
    <w:rsid w:val="00973363"/>
    <w:rsid w:val="00977EF9"/>
    <w:rsid w:val="00996C23"/>
    <w:rsid w:val="00997F3C"/>
    <w:rsid w:val="009B79CB"/>
    <w:rsid w:val="009C5A0A"/>
    <w:rsid w:val="009C5CDB"/>
    <w:rsid w:val="009E5791"/>
    <w:rsid w:val="009E5F11"/>
    <w:rsid w:val="00A07ACD"/>
    <w:rsid w:val="00A35D1C"/>
    <w:rsid w:val="00A43FB2"/>
    <w:rsid w:val="00A5520E"/>
    <w:rsid w:val="00A65762"/>
    <w:rsid w:val="00A72453"/>
    <w:rsid w:val="00A72FAB"/>
    <w:rsid w:val="00AB079E"/>
    <w:rsid w:val="00AD4718"/>
    <w:rsid w:val="00AF60BB"/>
    <w:rsid w:val="00B317C4"/>
    <w:rsid w:val="00B42843"/>
    <w:rsid w:val="00B86C10"/>
    <w:rsid w:val="00B931FB"/>
    <w:rsid w:val="00B95D32"/>
    <w:rsid w:val="00BA3FDC"/>
    <w:rsid w:val="00BC7C31"/>
    <w:rsid w:val="00BE4927"/>
    <w:rsid w:val="00BF3FB4"/>
    <w:rsid w:val="00C10279"/>
    <w:rsid w:val="00C1655F"/>
    <w:rsid w:val="00C1741D"/>
    <w:rsid w:val="00C31365"/>
    <w:rsid w:val="00C4345F"/>
    <w:rsid w:val="00C51EB3"/>
    <w:rsid w:val="00C77A00"/>
    <w:rsid w:val="00CB3DDC"/>
    <w:rsid w:val="00CD4CA1"/>
    <w:rsid w:val="00CF340D"/>
    <w:rsid w:val="00D218E9"/>
    <w:rsid w:val="00D4600F"/>
    <w:rsid w:val="00D50992"/>
    <w:rsid w:val="00D53A82"/>
    <w:rsid w:val="00D551D2"/>
    <w:rsid w:val="00D84A95"/>
    <w:rsid w:val="00D87AA0"/>
    <w:rsid w:val="00D94A1C"/>
    <w:rsid w:val="00D95300"/>
    <w:rsid w:val="00D96182"/>
    <w:rsid w:val="00DA0180"/>
    <w:rsid w:val="00DB32A1"/>
    <w:rsid w:val="00DB36D3"/>
    <w:rsid w:val="00DE1949"/>
    <w:rsid w:val="00E0388A"/>
    <w:rsid w:val="00E16E7F"/>
    <w:rsid w:val="00E43E7F"/>
    <w:rsid w:val="00E43EED"/>
    <w:rsid w:val="00E62B01"/>
    <w:rsid w:val="00E6548A"/>
    <w:rsid w:val="00E655B9"/>
    <w:rsid w:val="00E833A7"/>
    <w:rsid w:val="00EA1BD4"/>
    <w:rsid w:val="00EC03FA"/>
    <w:rsid w:val="00EC30A1"/>
    <w:rsid w:val="00ED564D"/>
    <w:rsid w:val="00ED6F59"/>
    <w:rsid w:val="00ED79A7"/>
    <w:rsid w:val="00EF27F2"/>
    <w:rsid w:val="00F00852"/>
    <w:rsid w:val="00F17385"/>
    <w:rsid w:val="00F22F2A"/>
    <w:rsid w:val="00F35B90"/>
    <w:rsid w:val="00F36D76"/>
    <w:rsid w:val="00F51A38"/>
    <w:rsid w:val="00F75B51"/>
    <w:rsid w:val="00F80C7F"/>
    <w:rsid w:val="00FA3CF8"/>
    <w:rsid w:val="00FB01BB"/>
    <w:rsid w:val="00FB6BB3"/>
    <w:rsid w:val="00FC77C1"/>
    <w:rsid w:val="00FD64CF"/>
    <w:rsid w:val="00FD7749"/>
    <w:rsid w:val="00FF27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semiHidden/>
    <w:unhideWhenUsed/>
    <w:qFormat/>
    <w:rsid w:val="00ED79A7"/>
    <w:pPr>
      <w:keepNext/>
      <w:spacing w:before="240" w:after="60" w:line="240" w:lineRule="auto"/>
      <w:outlineLvl w:val="1"/>
    </w:pPr>
    <w:rPr>
      <w:rFonts w:ascii="Arial" w:eastAsia="Times New Roman" w:hAnsi="Arial" w:cs="Arial"/>
      <w:b/>
      <w:bCs/>
      <w:i/>
      <w:iCs/>
      <w:sz w:val="28"/>
      <w:szCs w:val="28"/>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D79A7"/>
    <w:rPr>
      <w:color w:val="0000FF" w:themeColor="hyperlink"/>
      <w:u w:val="single"/>
    </w:rPr>
  </w:style>
  <w:style w:type="paragraph" w:styleId="Slutkommentar">
    <w:name w:val="endnote text"/>
    <w:basedOn w:val="Normal"/>
    <w:link w:val="SlutkommentarChar"/>
    <w:semiHidden/>
    <w:unhideWhenUsed/>
    <w:rsid w:val="00ED79A7"/>
    <w:pPr>
      <w:spacing w:after="0" w:line="240" w:lineRule="auto"/>
    </w:pPr>
    <w:rPr>
      <w:rFonts w:ascii="Times New Roman" w:eastAsia="Times New Roman" w:hAnsi="Times New Roman" w:cs="Times New Roman"/>
      <w:sz w:val="20"/>
      <w:szCs w:val="20"/>
      <w:lang w:val="en-GB" w:eastAsia="sv-SE"/>
    </w:rPr>
  </w:style>
  <w:style w:type="character" w:customStyle="1" w:styleId="SlutkommentarChar">
    <w:name w:val="Slutkommentar Char"/>
    <w:basedOn w:val="Standardstycketeckensnitt"/>
    <w:link w:val="Slutkommentar"/>
    <w:semiHidden/>
    <w:rsid w:val="00ED79A7"/>
    <w:rPr>
      <w:rFonts w:ascii="Times New Roman" w:eastAsia="Times New Roman" w:hAnsi="Times New Roman" w:cs="Times New Roman"/>
      <w:sz w:val="20"/>
      <w:szCs w:val="20"/>
      <w:lang w:val="en-GB" w:eastAsia="sv-SE"/>
    </w:rPr>
  </w:style>
  <w:style w:type="paragraph" w:customStyle="1" w:styleId="Newpara">
    <w:name w:val="New para"/>
    <w:basedOn w:val="Normal"/>
    <w:rsid w:val="00ED79A7"/>
    <w:pPr>
      <w:spacing w:after="0" w:line="360" w:lineRule="auto"/>
      <w:ind w:firstLine="720"/>
    </w:pPr>
    <w:rPr>
      <w:rFonts w:ascii="Times New Roman" w:eastAsia="Times New Roman" w:hAnsi="Times New Roman" w:cs="Times New Roman"/>
      <w:sz w:val="24"/>
      <w:szCs w:val="24"/>
      <w:lang w:val="en-GB" w:eastAsia="sv-SE"/>
    </w:rPr>
  </w:style>
  <w:style w:type="character" w:styleId="Slutkommentarsreferens">
    <w:name w:val="endnote reference"/>
    <w:semiHidden/>
    <w:unhideWhenUsed/>
    <w:rsid w:val="00ED79A7"/>
    <w:rPr>
      <w:vertAlign w:val="superscript"/>
    </w:rPr>
  </w:style>
  <w:style w:type="character" w:customStyle="1" w:styleId="Rubrik2Char">
    <w:name w:val="Rubrik 2 Char"/>
    <w:basedOn w:val="Standardstycketeckensnitt"/>
    <w:link w:val="Rubrik2"/>
    <w:semiHidden/>
    <w:rsid w:val="00ED79A7"/>
    <w:rPr>
      <w:rFonts w:ascii="Arial" w:eastAsia="Times New Roman" w:hAnsi="Arial" w:cs="Arial"/>
      <w:b/>
      <w:bCs/>
      <w:i/>
      <w:iCs/>
      <w:sz w:val="28"/>
      <w:szCs w:val="28"/>
      <w:lang w:val="en-GB"/>
    </w:rPr>
  </w:style>
  <w:style w:type="paragraph" w:styleId="Sidhuvud">
    <w:name w:val="header"/>
    <w:basedOn w:val="Normal"/>
    <w:link w:val="SidhuvudChar"/>
    <w:uiPriority w:val="99"/>
    <w:unhideWhenUsed/>
    <w:rsid w:val="008F46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4697"/>
  </w:style>
  <w:style w:type="paragraph" w:styleId="Sidfot">
    <w:name w:val="footer"/>
    <w:basedOn w:val="Normal"/>
    <w:link w:val="SidfotChar"/>
    <w:uiPriority w:val="99"/>
    <w:unhideWhenUsed/>
    <w:rsid w:val="008F46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4697"/>
  </w:style>
  <w:style w:type="paragraph" w:styleId="Ballongtext">
    <w:name w:val="Balloon Text"/>
    <w:basedOn w:val="Normal"/>
    <w:link w:val="BallongtextChar"/>
    <w:uiPriority w:val="99"/>
    <w:semiHidden/>
    <w:unhideWhenUsed/>
    <w:rsid w:val="008F46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46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semiHidden/>
    <w:unhideWhenUsed/>
    <w:qFormat/>
    <w:rsid w:val="00ED79A7"/>
    <w:pPr>
      <w:keepNext/>
      <w:spacing w:before="240" w:after="60" w:line="240" w:lineRule="auto"/>
      <w:outlineLvl w:val="1"/>
    </w:pPr>
    <w:rPr>
      <w:rFonts w:ascii="Arial" w:eastAsia="Times New Roman" w:hAnsi="Arial" w:cs="Arial"/>
      <w:b/>
      <w:bCs/>
      <w:i/>
      <w:iCs/>
      <w:sz w:val="28"/>
      <w:szCs w:val="28"/>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D79A7"/>
    <w:rPr>
      <w:color w:val="0000FF" w:themeColor="hyperlink"/>
      <w:u w:val="single"/>
    </w:rPr>
  </w:style>
  <w:style w:type="paragraph" w:styleId="Slutkommentar">
    <w:name w:val="endnote text"/>
    <w:basedOn w:val="Normal"/>
    <w:link w:val="SlutkommentarChar"/>
    <w:semiHidden/>
    <w:unhideWhenUsed/>
    <w:rsid w:val="00ED79A7"/>
    <w:pPr>
      <w:spacing w:after="0" w:line="240" w:lineRule="auto"/>
    </w:pPr>
    <w:rPr>
      <w:rFonts w:ascii="Times New Roman" w:eastAsia="Times New Roman" w:hAnsi="Times New Roman" w:cs="Times New Roman"/>
      <w:sz w:val="20"/>
      <w:szCs w:val="20"/>
      <w:lang w:val="en-GB" w:eastAsia="sv-SE"/>
    </w:rPr>
  </w:style>
  <w:style w:type="character" w:customStyle="1" w:styleId="SlutkommentarChar">
    <w:name w:val="Slutkommentar Char"/>
    <w:basedOn w:val="Standardstycketeckensnitt"/>
    <w:link w:val="Slutkommentar"/>
    <w:semiHidden/>
    <w:rsid w:val="00ED79A7"/>
    <w:rPr>
      <w:rFonts w:ascii="Times New Roman" w:eastAsia="Times New Roman" w:hAnsi="Times New Roman" w:cs="Times New Roman"/>
      <w:sz w:val="20"/>
      <w:szCs w:val="20"/>
      <w:lang w:val="en-GB" w:eastAsia="sv-SE"/>
    </w:rPr>
  </w:style>
  <w:style w:type="paragraph" w:customStyle="1" w:styleId="Newpara">
    <w:name w:val="New para"/>
    <w:basedOn w:val="Normal"/>
    <w:rsid w:val="00ED79A7"/>
    <w:pPr>
      <w:spacing w:after="0" w:line="360" w:lineRule="auto"/>
      <w:ind w:firstLine="720"/>
    </w:pPr>
    <w:rPr>
      <w:rFonts w:ascii="Times New Roman" w:eastAsia="Times New Roman" w:hAnsi="Times New Roman" w:cs="Times New Roman"/>
      <w:sz w:val="24"/>
      <w:szCs w:val="24"/>
      <w:lang w:val="en-GB" w:eastAsia="sv-SE"/>
    </w:rPr>
  </w:style>
  <w:style w:type="character" w:styleId="Slutkommentarsreferens">
    <w:name w:val="endnote reference"/>
    <w:semiHidden/>
    <w:unhideWhenUsed/>
    <w:rsid w:val="00ED79A7"/>
    <w:rPr>
      <w:vertAlign w:val="superscript"/>
    </w:rPr>
  </w:style>
  <w:style w:type="character" w:customStyle="1" w:styleId="Rubrik2Char">
    <w:name w:val="Rubrik 2 Char"/>
    <w:basedOn w:val="Standardstycketeckensnitt"/>
    <w:link w:val="Rubrik2"/>
    <w:semiHidden/>
    <w:rsid w:val="00ED79A7"/>
    <w:rPr>
      <w:rFonts w:ascii="Arial" w:eastAsia="Times New Roman" w:hAnsi="Arial" w:cs="Arial"/>
      <w:b/>
      <w:bCs/>
      <w:i/>
      <w:iCs/>
      <w:sz w:val="28"/>
      <w:szCs w:val="28"/>
      <w:lang w:val="en-GB"/>
    </w:rPr>
  </w:style>
  <w:style w:type="paragraph" w:styleId="Sidhuvud">
    <w:name w:val="header"/>
    <w:basedOn w:val="Normal"/>
    <w:link w:val="SidhuvudChar"/>
    <w:uiPriority w:val="99"/>
    <w:unhideWhenUsed/>
    <w:rsid w:val="008F46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4697"/>
  </w:style>
  <w:style w:type="paragraph" w:styleId="Sidfot">
    <w:name w:val="footer"/>
    <w:basedOn w:val="Normal"/>
    <w:link w:val="SidfotChar"/>
    <w:uiPriority w:val="99"/>
    <w:unhideWhenUsed/>
    <w:rsid w:val="008F46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4697"/>
  </w:style>
  <w:style w:type="paragraph" w:styleId="Ballongtext">
    <w:name w:val="Balloon Text"/>
    <w:basedOn w:val="Normal"/>
    <w:link w:val="BallongtextChar"/>
    <w:uiPriority w:val="99"/>
    <w:semiHidden/>
    <w:unhideWhenUsed/>
    <w:rsid w:val="008F46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46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nordin@arkeologi.uu.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DB08-324F-4FF5-8675-7060FC1B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Pages>
  <Words>3590</Words>
  <Characters>19033</Characters>
  <Application>Microsoft Office Word</Application>
  <DocSecurity>0</DocSecurity>
  <Lines>158</Lines>
  <Paragraphs>45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Monie Nordin</dc:creator>
  <cp:lastModifiedBy>Jonas Monie Nordin</cp:lastModifiedBy>
  <cp:revision>8</cp:revision>
  <cp:lastPrinted>2014-06-17T13:08:00Z</cp:lastPrinted>
  <dcterms:created xsi:type="dcterms:W3CDTF">2014-06-11T08:46:00Z</dcterms:created>
  <dcterms:modified xsi:type="dcterms:W3CDTF">2014-06-17T13:51:00Z</dcterms:modified>
</cp:coreProperties>
</file>