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Universitetslektor i </w:t>
      </w:r>
      <w:r w:rsidDel="00000000" w:rsidR="00000000" w:rsidRPr="00000000">
        <w:rPr>
          <w:rFonts w:ascii="Arial" w:cs="Arial" w:eastAsia="Arial" w:hAnsi="Arial"/>
          <w:b w:val="1"/>
          <w:sz w:val="28"/>
          <w:szCs w:val="28"/>
          <w:rtl w:val="0"/>
        </w:rPr>
        <w:t xml:space="preserve">acceleratorfysik</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Arial" w:cs="Arial" w:eastAsia="Arial" w:hAnsi="Arial"/>
          <w:b w:val="1"/>
          <w:sz w:val="28"/>
          <w:szCs w:val="28"/>
          <w:vertAlign w:val="baseline"/>
          <w:rtl w:val="0"/>
        </w:rPr>
        <w:t xml:space="preserve">med inriktning mot </w:t>
      </w:r>
      <w:r w:rsidDel="00000000" w:rsidR="00000000" w:rsidRPr="00000000">
        <w:rPr>
          <w:rFonts w:ascii="Arial" w:cs="Arial" w:eastAsia="Arial" w:hAnsi="Arial"/>
          <w:b w:val="1"/>
          <w:sz w:val="28"/>
          <w:szCs w:val="28"/>
          <w:rtl w:val="0"/>
        </w:rPr>
        <w:t xml:space="preserve">framtida kolliderare</w:t>
      </w:r>
      <w:r w:rsidDel="00000000" w:rsidR="00000000" w:rsidRPr="00000000">
        <w:rPr>
          <w:rtl w:val="0"/>
        </w:rPr>
      </w:r>
    </w:p>
    <w:p w:rsidR="00000000" w:rsidDel="00000000" w:rsidP="00000000" w:rsidRDefault="00000000" w:rsidRPr="00000000" w14:paraId="00000002">
      <w:pPr>
        <w:tabs>
          <w:tab w:val="left" w:leader="none" w:pos="5040"/>
          <w:tab w:val="left" w:leader="none" w:pos="7380"/>
        </w:tabs>
        <w:rPr>
          <w:color w:val="000000"/>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Uppsala universitet är ett brett forskningsuniversitet med stark internationell ställning. Uppgiften är att bedriva forskning och utbildning av högsta kvalitet och att på olika sätt samverka med samhället. Vår viktigaste tillgång är alla de individer som med sin nyfikenhet och sitt engagemang gör Uppsala universitet till en av landets mest spännande arbetsplatser. Uppsala universitet har 44.000 studenter, 7.100 anställda och en omsättning på 7 miljarder kronor.</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Uppsala universitets karriärsystem, Tenure track, ger universitetslektorer rätt att prövas för befordran till professor. Universitetet erbjuder bland annat stöd för vetenskaplig och pedagogisk utveckling, ledarskapsutveckling samt patent- och innovationsstöd. </w:t>
      </w:r>
    </w:p>
    <w:p w:rsidR="00000000" w:rsidDel="00000000" w:rsidP="00000000" w:rsidRDefault="00000000" w:rsidRPr="00000000" w14:paraId="0000000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t xml:space="preserve">Gruppen för experimentell kolliderarfysik är en av de tre pelarna vid </w:t>
      </w:r>
      <w:hyperlink r:id="rId6">
        <w:r w:rsidDel="00000000" w:rsidR="00000000" w:rsidRPr="00000000">
          <w:rPr>
            <w:color w:val="1155cc"/>
            <w:u w:val="single"/>
            <w:rtl w:val="0"/>
          </w:rPr>
          <w:t xml:space="preserve">avdelningen för högenergifysik</w:t>
        </w:r>
      </w:hyperlink>
      <w:r w:rsidDel="00000000" w:rsidR="00000000" w:rsidRPr="00000000">
        <w:rPr>
          <w:rtl w:val="0"/>
        </w:rPr>
        <w:t xml:space="preserve"> (utöver teoretisk partikelfysik och astropartikelfysik) vid Institutionen för Fysik och Astronomi. Gruppen för experimentell kolliderarfysik utforskar elementarpartiklar och grundläggande krafter i naturen med hjälp av data från ATLAS-experimentet vid CERN:s Large Hadron Collider (LHC). Gruppens huvudaktiviteter är utveckling av instrumentering, datainsamling och fysikalisk analys av kollisionsdata, samt design och utveckling av framtida kolliderare, nämligen Future Circular Collider (FCC) vid CERN.</w:t>
      </w: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Beskrivning av anställningens ämnesområde: </w:t>
      </w:r>
    </w:p>
    <w:p w:rsidR="00000000" w:rsidDel="00000000" w:rsidP="00000000" w:rsidRDefault="00000000" w:rsidRPr="00000000" w14:paraId="0000000A">
      <w:pPr>
        <w:rPr>
          <w:i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Inom avdelningen för högenergifysik kommer den valda kandidaten att delta i den slutliga designen och konstruktionen av nästa flaggskeppskolliderare vid CERN, vilket kan vara FCC-ee med en kollisionsenergi på 91-365 GeV, eller en linjär e+e- kolliderare. Parallellt ska forskning och utveckling (FoU) inom acceleratorteknik bedrivas mot en framtida högenergi-hadron- eller myonkolliderare, i synnerhet utveckling av supraledande magneter med högt fält. Ett nära samarbete med FREIA-laboratoriet vid Uppsala universitet, CERN och industrin förväntas bedriva denna forskning.</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Arbetsuppgifter: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numPr>
          <w:ilvl w:val="0"/>
          <w:numId w:val="1"/>
        </w:numPr>
        <w:ind w:left="720" w:hanging="360"/>
        <w:rPr>
          <w:i w:val="0"/>
        </w:rPr>
      </w:pPr>
      <w:r w:rsidDel="00000000" w:rsidR="00000000" w:rsidRPr="00000000">
        <w:rPr>
          <w:rFonts w:ascii="Times New Roman" w:cs="Times New Roman" w:eastAsia="Times New Roman" w:hAnsi="Times New Roman"/>
          <w:vertAlign w:val="baseline"/>
          <w:rtl w:val="0"/>
        </w:rPr>
        <w:t xml:space="preserve">Undervisning, forskning och administration. Till undervisning räknas kursansvar och kursadministration samt handledning av doktorander.</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numPr>
          <w:ilvl w:val="0"/>
          <w:numId w:val="1"/>
        </w:numPr>
        <w:ind w:left="720" w:hanging="360"/>
        <w:rPr/>
      </w:pPr>
      <w:r w:rsidDel="00000000" w:rsidR="00000000" w:rsidRPr="00000000">
        <w:rPr>
          <w:rFonts w:ascii="Times New Roman" w:cs="Times New Roman" w:eastAsia="Times New Roman" w:hAnsi="Times New Roman"/>
          <w:vertAlign w:val="baseline"/>
          <w:rtl w:val="0"/>
        </w:rPr>
        <w:t xml:space="preserve">Följa utvecklingen inom det egna ämnesområdet och samhällsutvecklingen i övrigt som har betydelse för arbetet vid universitetet.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Anställningen komm</w:t>
      </w:r>
      <w:r w:rsidDel="00000000" w:rsidR="00000000" w:rsidRPr="00000000">
        <w:rPr>
          <w:rtl w:val="0"/>
        </w:rPr>
        <w:t xml:space="preserve">er även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 innefatta </w:t>
      </w:r>
      <w:r w:rsidDel="00000000" w:rsidR="00000000" w:rsidRPr="00000000">
        <w:rPr>
          <w:rtl w:val="0"/>
        </w:rPr>
        <w:t xml:space="preserve">ledning av projekt som involverar FoU inom acceleratorteknik, samt samverkan med både internationella forskningsorganisationer och industri.</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Behörighetskrav</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numPr>
          <w:ilvl w:val="0"/>
          <w:numId w:val="1"/>
        </w:numPr>
        <w:ind w:left="720" w:hanging="360"/>
        <w:rPr/>
      </w:pPr>
      <w:r w:rsidDel="00000000" w:rsidR="00000000" w:rsidRPr="00000000">
        <w:rPr>
          <w:rFonts w:ascii="Times New Roman" w:cs="Times New Roman" w:eastAsia="Times New Roman" w:hAnsi="Times New Roman"/>
          <w:vertAlign w:val="baseline"/>
          <w:rtl w:val="0"/>
        </w:rPr>
        <w:t xml:space="preserve">Doktorsexamen</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t xml:space="preserve">inom experimentell högenergifysik eller acceleratorfysik.</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numPr>
          <w:ilvl w:val="0"/>
          <w:numId w:val="1"/>
        </w:numPr>
        <w:ind w:left="720" w:hanging="360"/>
        <w:rPr/>
      </w:pPr>
      <w:r w:rsidDel="00000000" w:rsidR="00000000" w:rsidRPr="00000000">
        <w:rPr>
          <w:rFonts w:ascii="Times New Roman" w:cs="Times New Roman" w:eastAsia="Times New Roman" w:hAnsi="Times New Roman"/>
          <w:vertAlign w:val="baseline"/>
          <w:rtl w:val="0"/>
        </w:rPr>
        <w:t xml:space="preserve">Vetenskaplig och pedagogisk skicklighet eller annan yrkesskicklighet. Det krävs att den pedagogiska skickligheten, den vetenskapliga kompetensen och yrkesskickligheten är relevant för anställningens ämnesområde och de arbetsuppgifter som ska ingå i anställningen.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widowControl w:val="1"/>
        <w:numPr>
          <w:ilvl w:val="0"/>
          <w:numId w:val="1"/>
        </w:numPr>
        <w:ind w:left="720" w:hanging="360"/>
        <w:rPr/>
      </w:pPr>
      <w:r w:rsidDel="00000000" w:rsidR="00000000" w:rsidRPr="00000000">
        <w:rPr>
          <w:rFonts w:ascii="Times New Roman" w:cs="Times New Roman" w:eastAsia="Times New Roman" w:hAnsi="Times New Roman"/>
          <w:vertAlign w:val="baseline"/>
          <w:rtl w:val="0"/>
        </w:rPr>
        <w:t xml:space="preserve">Den sökande ska ha genomgått för verksamhet inom universitetet relevant högskolepedagogisk utbildning omfattande tio veckor eller ha förvärvat motsvarande kunskaper. </w:t>
      </w:r>
      <w:r w:rsidDel="00000000" w:rsidR="00000000" w:rsidRPr="00000000">
        <w:rPr>
          <w:vertAlign w:val="baseline"/>
          <w:rtl w:val="0"/>
        </w:rPr>
        <w:t xml:space="preserve">Om det föreligger särskilda skäl kan den högskolepedagogiska utbildningen genomföras under de första två anställningsåren.</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numPr>
          <w:ilvl w:val="0"/>
          <w:numId w:val="1"/>
        </w:numPr>
        <w:ind w:left="720" w:hanging="360"/>
        <w:rPr>
          <w:color w:val="000000"/>
        </w:rPr>
      </w:pPr>
      <w:r w:rsidDel="00000000" w:rsidR="00000000" w:rsidRPr="00000000">
        <w:rPr>
          <w:color w:val="000000"/>
          <w:vertAlign w:val="baseline"/>
          <w:rtl w:val="0"/>
        </w:rPr>
        <w:t xml:space="preserve">Dokumenterad förmåga att undervisa på</w:t>
      </w:r>
      <w:r w:rsidDel="00000000" w:rsidR="00000000" w:rsidRPr="00000000">
        <w:rPr>
          <w:rtl w:val="0"/>
        </w:rPr>
        <w:t xml:space="preserve"> </w:t>
      </w:r>
      <w:r w:rsidDel="00000000" w:rsidR="00000000" w:rsidRPr="00000000">
        <w:rPr>
          <w:color w:val="000000"/>
          <w:vertAlign w:val="baseline"/>
          <w:rtl w:val="0"/>
        </w:rPr>
        <w:t xml:space="preserve">svenska eller engelska </w:t>
      </w:r>
      <w:r w:rsidDel="00000000" w:rsidR="00000000" w:rsidRPr="00000000">
        <w:rPr>
          <w:color w:val="000000"/>
          <w:vertAlign w:val="baseline"/>
          <w:rtl w:val="0"/>
        </w:rPr>
        <w:t xml:space="preserve">om inte särskilda skäl föreligger.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Personliga egenskaper som krävs för att fullgöra anställningen väl. </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Bedömningsgrunder för sökande som uppfyller ovanstående behörighetskrav</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rPr/>
      </w:pPr>
      <w:r w:rsidDel="00000000" w:rsidR="00000000" w:rsidRPr="00000000">
        <w:rPr>
          <w:rFonts w:ascii="Times New Roman" w:cs="Times New Roman" w:eastAsia="Times New Roman" w:hAnsi="Times New Roman"/>
          <w:vertAlign w:val="baseline"/>
          <w:rtl w:val="0"/>
        </w:rPr>
        <w:t xml:space="preserve">Vid urval bland behöriga sökande kommer särskild vikt att fästas vid såväl </w:t>
      </w:r>
      <w:r w:rsidDel="00000000" w:rsidR="00000000" w:rsidRPr="00000000">
        <w:rPr>
          <w:rFonts w:ascii="Times New Roman" w:cs="Times New Roman" w:eastAsia="Times New Roman" w:hAnsi="Times New Roman"/>
          <w:b w:val="1"/>
          <w:vertAlign w:val="baseline"/>
          <w:rtl w:val="0"/>
        </w:rPr>
        <w:t xml:space="preserve">vetenskaplig</w:t>
      </w:r>
      <w:r w:rsidDel="00000000" w:rsidR="00000000" w:rsidRPr="00000000">
        <w:rPr>
          <w:b w:val="1"/>
          <w:rtl w:val="0"/>
        </w:rPr>
        <w:t xml:space="preserve"> som </w:t>
      </w:r>
      <w:r w:rsidDel="00000000" w:rsidR="00000000" w:rsidRPr="00000000">
        <w:rPr>
          <w:rFonts w:ascii="Times New Roman" w:cs="Times New Roman" w:eastAsia="Times New Roman" w:hAnsi="Times New Roman"/>
          <w:b w:val="1"/>
          <w:vertAlign w:val="baseline"/>
          <w:rtl w:val="0"/>
        </w:rPr>
        <w:t xml:space="preserve">pedagogisk </w:t>
      </w:r>
      <w:r w:rsidDel="00000000" w:rsidR="00000000" w:rsidRPr="00000000">
        <w:rPr>
          <w:b w:val="1"/>
          <w:vertAlign w:val="baseline"/>
          <w:rtl w:val="0"/>
        </w:rPr>
        <w:t xml:space="preserve">skicklighet</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tl w:val="0"/>
        </w:rPr>
        <w:t xml:space="preserve">vilka tillmäts lika stor vikt</w:t>
      </w:r>
      <w:r w:rsidDel="00000000" w:rsidR="00000000" w:rsidRPr="00000000">
        <w:rPr>
          <w:rtl w:val="0"/>
        </w:rPr>
        <w:t xml:space="preserve">.</w:t>
      </w:r>
    </w:p>
    <w:p w:rsidR="00000000" w:rsidDel="00000000" w:rsidP="00000000" w:rsidRDefault="00000000" w:rsidRPr="00000000" w14:paraId="00000024">
      <w:pPr>
        <w:rPr>
          <w:i w:val="1"/>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Times New Roman" w:cs="Times New Roman" w:eastAsia="Times New Roman" w:hAnsi="Times New Roman"/>
          <w:b w:val="1"/>
          <w:vertAlign w:val="baseline"/>
          <w:rtl w:val="0"/>
        </w:rPr>
        <w:t xml:space="preserve">Vetenskaplig skicklighet </w:t>
      </w:r>
      <w:r w:rsidDel="00000000" w:rsidR="00000000" w:rsidRPr="00000000">
        <w:rPr>
          <w:vertAlign w:val="baseline"/>
          <w:rtl w:val="0"/>
        </w:rPr>
        <w:t xml:space="preserve">avser</w:t>
      </w:r>
      <w:r w:rsidDel="00000000" w:rsidR="00000000" w:rsidRPr="00000000">
        <w:rPr>
          <w:rFonts w:ascii="Times New Roman" w:cs="Times New Roman" w:eastAsia="Times New Roman" w:hAnsi="Times New Roman"/>
          <w:vertAlign w:val="baseline"/>
          <w:rtl w:val="0"/>
        </w:rPr>
        <w:t xml:space="preserve"> forskningsmeritering</w:t>
      </w:r>
      <w:r w:rsidDel="00000000" w:rsidR="00000000" w:rsidRPr="00000000">
        <w:rPr>
          <w:vertAlign w:val="baseline"/>
          <w:rtl w:val="0"/>
        </w:rPr>
        <w:t xml:space="preserve">. Förutom akademisk meritering kan även forskningsmeritering från annan verksamhet, som inbegriper till exempel teknikutveckling och innovationsförmåga, beaktas. Vid bedömning av den vetenskapliga skickligheten kommer i första hand vetenskaplig kvalitet att beaktas. Även forskningens omfattning, främst djup och bredd, kommer att tillmätas betydelse.</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Vid bedömning av den vetenskapliga skickligheten kommer särskild vikt att läggas vid </w:t>
      </w:r>
      <w:r w:rsidDel="00000000" w:rsidR="00000000" w:rsidRPr="00000000">
        <w:rPr>
          <w:vertAlign w:val="baseline"/>
          <w:rtl w:val="0"/>
        </w:rPr>
        <w:t xml:space="preserve">forskningsmeriter</w:t>
      </w:r>
      <w:r w:rsidDel="00000000" w:rsidR="00000000" w:rsidRPr="00000000">
        <w:rPr>
          <w:rtl w:val="0"/>
        </w:rPr>
        <w:t xml:space="preserve"> inom acceleratorfysik och FoU inom acceleratorteknik.</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Vidare kommer förmåga att planera, initiera, leda och utveckla forskning och utbildning på forskarnivå, förmåga att i konkurrens erhålla medel för forskning, liksom visad förmåga till interaktion både inomvetenskapligt och med det omgivande samhället att tillmätas betydelse.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vertAlign w:val="baseline"/>
        </w:rPr>
      </w:pPr>
      <w:r w:rsidDel="00000000" w:rsidR="00000000" w:rsidRPr="00000000">
        <w:rPr>
          <w:b w:val="1"/>
          <w:vertAlign w:val="baseline"/>
          <w:rtl w:val="0"/>
        </w:rPr>
        <w:t xml:space="preserve">Pedagogisk skicklighet</w:t>
      </w:r>
      <w:r w:rsidDel="00000000" w:rsidR="00000000" w:rsidRPr="00000000">
        <w:rPr>
          <w:vertAlign w:val="baseline"/>
          <w:rtl w:val="0"/>
        </w:rPr>
        <w:t xml:space="preserve"> avser utbildnings- och undervisningsmeritering. Förutom akademisk meritering kan även utbildnings- och undervisningsmeritering från annan verksamhet, som inbegriper till exempel handledning, internutbildning eller mentorsprogram, beaktas. Vid bedömning av pedagogisk skicklighet ska i första hand pedagogisk kvalitet beaktas. Även omfattning, såväl bredd som djup, ska tillmätas betydelse. </w:t>
      </w:r>
      <w:r w:rsidDel="00000000" w:rsidR="00000000" w:rsidRPr="00000000">
        <w:rPr>
          <w:rFonts w:ascii="Times New Roman" w:cs="Times New Roman" w:eastAsia="Times New Roman" w:hAnsi="Times New Roman"/>
          <w:vertAlign w:val="baseline"/>
          <w:rtl w:val="0"/>
        </w:rPr>
        <w:t xml:space="preserve">Vid bedömning av den pedagogiska skickligheten kommer särskild vikt att läggas </w:t>
      </w:r>
      <w:r w:rsidDel="00000000" w:rsidR="00000000" w:rsidRPr="00000000">
        <w:rPr>
          <w:rFonts w:ascii="Times New Roman" w:cs="Times New Roman" w:eastAsia="Times New Roman" w:hAnsi="Times New Roman"/>
          <w:vertAlign w:val="baseline"/>
          <w:rtl w:val="0"/>
        </w:rPr>
        <w:t xml:space="preserve">vid fysikundervisning på olika nivåer.</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Vidare kommer förmåga att planera, initiera, leda och utveckla utbildning och undervisning, liksom förmåga att forskningsanknyta undervisningen sett utifrån forskning i det aktuella ämnet, ämnesdidaktik och högskolepedagogik att tillmätas betydelse. Även förmåga till interaktion om högskolepedagogiska frågor med aktörer inom och utom universitetet ingår i den pedagogiska skickligheten.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Samverkansskicklighet</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är betydelsefull för anställningen och kommer att tillmätas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stor vikt</w:t>
      </w:r>
      <w:r w:rsidDel="00000000" w:rsidR="00000000" w:rsidRPr="00000000">
        <w:rPr>
          <w:rtl w:val="0"/>
        </w:rPr>
        <w:t xml:space="preserve">.</w:t>
      </w:r>
      <w:r w:rsidDel="00000000" w:rsidR="00000000" w:rsidRPr="00000000">
        <w:rPr>
          <w:rFonts w:ascii="Times New Roman" w:cs="Times New Roman" w:eastAsia="Times New Roman" w:hAnsi="Times New Roman"/>
          <w:b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Samverkansskicklighet visas genom förmåga och skicklighet att planera, organisera och genomföra samverkan med det omgivande samhället. Exempel på sådan sam</w:t>
      </w:r>
      <w:r w:rsidDel="00000000" w:rsidR="00000000" w:rsidRPr="00000000">
        <w:rPr>
          <w:rtl w:val="0"/>
        </w:rPr>
        <w:t xml:space="preserve">verkan</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är </w:t>
      </w:r>
      <w:r w:rsidDel="00000000" w:rsidR="00000000" w:rsidRPr="00000000">
        <w:rPr>
          <w:rtl w:val="0"/>
        </w:rPr>
        <w:t xml:space="preserve">populärvetenskapliga arbeten</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och industriellt samarbete.</w:t>
      </w:r>
      <w:r w:rsidDel="00000000" w:rsidR="00000000" w:rsidRPr="00000000">
        <w:rPr>
          <w:rtl w:val="0"/>
        </w:rPr>
        <w:t xml:space="preserve"> </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Även förmåga att omsätta kunskapsutbyte med det omgivande samhället i aktiviteter av betydelse för utbildningens utveckling och kvalitet ingår i samverkansskickligheten.</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Ledningsskicklighet</w:t>
      </w:r>
      <w:r w:rsidDel="00000000" w:rsidR="00000000" w:rsidRPr="00000000">
        <w:rPr>
          <w:rtl w:val="0"/>
        </w:rPr>
        <w:t xml:space="preserve"> är betydelsefull för anställningen och kommer att tillmätas </w:t>
      </w:r>
      <w:r w:rsidDel="00000000" w:rsidR="00000000" w:rsidRPr="00000000">
        <w:rPr>
          <w:rtl w:val="0"/>
        </w:rPr>
        <w:t xml:space="preserve">stor vikt. Ledningsskicklighet visas genom förmåga att leda verksamhet och personal, fatta beslut, ta ansvar samt motivera och förse andra med de förutsättningar som krävs för att effektivt nå gemensamma mål. Förmåga att samordna gruppen såväl som att bidra till att skapa engagemang, delaktighet och arbetsglädje samt förmåga att hantera konflikter utgör ytterligare exempel på visad skicklighet.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Samtliga meriter ska vara dokumenterade så att både kvalitet och omfattning kan bedömas.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rFonts w:ascii="Times New Roman" w:cs="Times New Roman" w:eastAsia="Times New Roman" w:hAnsi="Times New Roman"/>
          <w:vertAlign w:val="baseline"/>
          <w:rtl w:val="0"/>
        </w:rPr>
        <w:t xml:space="preserve">Universitetet kommer i denna rekrytering främst att beakta den som efter en kvalitativ helhetsbedömning av kompetens och skicklighet bedöms ha de bästa förutsättningarna att genomföra och utveckla aktuella arbetsuppgifter samt bidra till en positiv utveckling av verksamheten.</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Ytterligare information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7">
      <w:pPr>
        <w:tabs>
          <w:tab w:val="left" w:leader="none" w:pos="5040"/>
          <w:tab w:val="left" w:leader="none" w:pos="7380"/>
        </w:tabs>
        <w:rPr>
          <w:vertAlign w:val="baseline"/>
        </w:rPr>
      </w:pPr>
      <w:r w:rsidDel="00000000" w:rsidR="00000000" w:rsidRPr="00000000">
        <w:rPr>
          <w:vertAlign w:val="baseline"/>
          <w:rtl w:val="0"/>
        </w:rPr>
        <w:t xml:space="preserve">Föräldraledighet, deltidsarbete på grund av vård av barn, fackligt uppdrag, militärtjänst eller liknande beaktas som arbetslivserfarenhet och bör anges i meritförteckningen.</w:t>
      </w:r>
    </w:p>
    <w:p w:rsidR="00000000" w:rsidDel="00000000" w:rsidP="00000000" w:rsidRDefault="00000000" w:rsidRPr="00000000" w14:paraId="00000038">
      <w:pPr>
        <w:spacing w:after="0"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39">
      <w:pPr>
        <w:widowControl w:val="1"/>
        <w:spacing w:after="0" w:before="0" w:lineRule="auto"/>
        <w:rPr>
          <w:rFonts w:ascii="Times New Roman" w:cs="Times New Roman" w:eastAsia="Times New Roman" w:hAnsi="Times New Roman"/>
          <w:vertAlign w:val="baseline"/>
        </w:rPr>
      </w:pPr>
      <w:bookmarkStart w:colFirst="0" w:colLast="0" w:name="_6zggvo5xei16" w:id="0"/>
      <w:bookmarkEnd w:id="0"/>
      <w:hyperlink r:id="rId7">
        <w:r w:rsidDel="00000000" w:rsidR="00000000" w:rsidRPr="00000000">
          <w:rPr>
            <w:rFonts w:ascii="Times New Roman" w:cs="Times New Roman" w:eastAsia="Times New Roman" w:hAnsi="Times New Roman"/>
            <w:color w:val="0000ff"/>
            <w:u w:val="single"/>
            <w:vertAlign w:val="baseline"/>
            <w:rtl w:val="0"/>
          </w:rPr>
          <w:t xml:space="preserve">Uppsala universitetets anställningsordning</w:t>
        </w:r>
      </w:hyperlink>
      <w:r w:rsidDel="00000000" w:rsidR="00000000" w:rsidRPr="00000000">
        <w:rPr>
          <w:rtl w:val="0"/>
        </w:rPr>
      </w:r>
    </w:p>
    <w:p w:rsidR="00000000" w:rsidDel="00000000" w:rsidP="00000000" w:rsidRDefault="00000000" w:rsidRPr="00000000" w14:paraId="0000003A">
      <w:pPr>
        <w:widowControl w:val="1"/>
        <w:spacing w:after="0" w:before="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B">
      <w:pPr>
        <w:widowControl w:val="1"/>
        <w:spacing w:after="280" w:before="0" w:lineRule="auto"/>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8">
        <w:r w:rsidDel="00000000" w:rsidR="00000000" w:rsidRPr="00000000">
          <w:rPr>
            <w:rFonts w:ascii="Times New Roman" w:cs="Times New Roman" w:eastAsia="Times New Roman" w:hAnsi="Times New Roman"/>
            <w:color w:val="0000ff"/>
            <w:u w:val="single"/>
            <w:vertAlign w:val="baseline"/>
            <w:rtl w:val="0"/>
          </w:rPr>
          <w:t xml:space="preserve">Teknisk-naturvetenskapliga fakultetens riktlinjer för anställning</w:t>
        </w:r>
      </w:hyperlink>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vertAlign w:val="baseline"/>
        </w:rPr>
      </w:pPr>
      <w:hyperlink r:id="rId9">
        <w:r w:rsidDel="00000000" w:rsidR="00000000" w:rsidRPr="00000000">
          <w:rPr>
            <w:rFonts w:ascii="Times New Roman" w:cs="Times New Roman" w:eastAsia="Times New Roman" w:hAnsi="Times New Roman"/>
            <w:color w:val="0000ff"/>
            <w:u w:val="single"/>
            <w:vertAlign w:val="baseline"/>
            <w:rtl w:val="0"/>
          </w:rPr>
          <w:t xml:space="preserve">Instruktioner för ansökan om anställning</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vertAlign w:val="baseline"/>
          <w:rtl w:val="0"/>
        </w:rPr>
        <w:t xml:space="preserve">Upplysningar </w:t>
      </w:r>
      <w:r w:rsidDel="00000000" w:rsidR="00000000" w:rsidRPr="00000000">
        <w:rPr>
          <w:vertAlign w:val="baseline"/>
          <w:rtl w:val="0"/>
        </w:rPr>
        <w:t xml:space="preserve">om anställningen lämnas av </w:t>
      </w:r>
      <w:r w:rsidDel="00000000" w:rsidR="00000000" w:rsidRPr="00000000">
        <w:rPr>
          <w:rtl w:val="0"/>
        </w:rPr>
        <w:t xml:space="preserve">Prof. Arnaud Ferrari (</w:t>
      </w:r>
      <w:hyperlink r:id="rId10">
        <w:r w:rsidDel="00000000" w:rsidR="00000000" w:rsidRPr="00000000">
          <w:rPr>
            <w:color w:val="1155cc"/>
            <w:u w:val="single"/>
            <w:rtl w:val="0"/>
          </w:rPr>
          <w:t xml:space="preserve">arnaud.ferrari@physics.uu.se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F">
      <w:pPr>
        <w:widowControl w:val="1"/>
        <w:spacing w:after="0" w:before="280" w:lineRule="auto"/>
        <w:rPr>
          <w:i w:val="1"/>
        </w:rPr>
      </w:pPr>
      <w:r w:rsidDel="00000000" w:rsidR="00000000" w:rsidRPr="00000000">
        <w:rPr>
          <w:rFonts w:ascii="Times New Roman" w:cs="Times New Roman" w:eastAsia="Times New Roman" w:hAnsi="Times New Roman"/>
          <w:b w:val="1"/>
          <w:vertAlign w:val="baseline"/>
          <w:rtl w:val="0"/>
        </w:rPr>
        <w:t xml:space="preserve">Anställningsform</w:t>
      </w:r>
      <w:r w:rsidDel="00000000" w:rsidR="00000000" w:rsidRPr="00000000">
        <w:rPr>
          <w:rFonts w:ascii="Times New Roman" w:cs="Times New Roman" w:eastAsia="Times New Roman" w:hAnsi="Times New Roman"/>
          <w:vertAlign w:val="baseline"/>
          <w:rtl w:val="0"/>
        </w:rPr>
        <w:t xml:space="preserve">: Heltid, tillsvidareanställning,</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provanställning kan komma att tillämpas.</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tl w:val="0"/>
        </w:rPr>
      </w:r>
    </w:p>
    <w:p w:rsidR="00000000" w:rsidDel="00000000" w:rsidP="00000000" w:rsidRDefault="00000000" w:rsidRPr="00000000" w14:paraId="00000040">
      <w:pPr>
        <w:widowControl w:val="1"/>
        <w:spacing w:after="0" w:before="0" w:lineRule="auto"/>
        <w:rPr>
          <w:b w:val="1"/>
        </w:rPr>
      </w:pPr>
      <w:r w:rsidDel="00000000" w:rsidR="00000000" w:rsidRPr="00000000">
        <w:rPr>
          <w:rtl w:val="0"/>
        </w:rPr>
      </w:r>
    </w:p>
    <w:p w:rsidR="00000000" w:rsidDel="00000000" w:rsidP="00000000" w:rsidRDefault="00000000" w:rsidRPr="00000000" w14:paraId="00000041">
      <w:pPr>
        <w:widowControl w:val="1"/>
        <w:spacing w:after="0" w:before="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Lön</w:t>
      </w:r>
      <w:r w:rsidDel="00000000" w:rsidR="00000000" w:rsidRPr="00000000">
        <w:rPr>
          <w:rFonts w:ascii="Times New Roman" w:cs="Times New Roman" w:eastAsia="Times New Roman" w:hAnsi="Times New Roman"/>
          <w:vertAlign w:val="baseline"/>
          <w:rtl w:val="0"/>
        </w:rPr>
        <w:t xml:space="preserve">: Fast lön</w:t>
      </w:r>
    </w:p>
    <w:p w:rsidR="00000000" w:rsidDel="00000000" w:rsidP="00000000" w:rsidRDefault="00000000" w:rsidRPr="00000000" w14:paraId="00000042">
      <w:pPr>
        <w:widowControl w:val="1"/>
        <w:spacing w:after="0" w:before="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3">
      <w:pPr>
        <w:widowControl w:val="1"/>
        <w:spacing w:after="0" w:before="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Antal lediga befattningar</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44">
      <w:pPr>
        <w:widowControl w:val="1"/>
        <w:spacing w:after="0" w:before="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5">
      <w:pPr>
        <w:widowControl w:val="1"/>
        <w:spacing w:after="0" w:before="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Sysselsättningsgrad</w:t>
      </w:r>
      <w:r w:rsidDel="00000000" w:rsidR="00000000" w:rsidRPr="00000000">
        <w:rPr>
          <w:rFonts w:ascii="Times New Roman" w:cs="Times New Roman" w:eastAsia="Times New Roman" w:hAnsi="Times New Roman"/>
          <w:vertAlign w:val="baseline"/>
          <w:rtl w:val="0"/>
        </w:rPr>
        <w:t xml:space="preserve">: 100%</w:t>
      </w:r>
    </w:p>
    <w:p w:rsidR="00000000" w:rsidDel="00000000" w:rsidP="00000000" w:rsidRDefault="00000000" w:rsidRPr="00000000" w14:paraId="00000046">
      <w:pPr>
        <w:widowControl w:val="1"/>
        <w:spacing w:after="0" w:before="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7">
      <w:pPr>
        <w:widowControl w:val="1"/>
        <w:spacing w:after="0" w:before="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vertAlign w:val="baseline"/>
          <w:rtl w:val="0"/>
        </w:rPr>
        <w:t xml:space="preserve">Ort</w:t>
      </w:r>
      <w:r w:rsidDel="00000000" w:rsidR="00000000" w:rsidRPr="00000000">
        <w:rPr>
          <w:rFonts w:ascii="Times New Roman" w:cs="Times New Roman" w:eastAsia="Times New Roman" w:hAnsi="Times New Roman"/>
          <w:vertAlign w:val="baseline"/>
          <w:rtl w:val="0"/>
        </w:rPr>
        <w:t xml:space="preserve">: Uppsala</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tl w:val="0"/>
        </w:rPr>
      </w:r>
    </w:p>
    <w:p w:rsidR="00000000" w:rsidDel="00000000" w:rsidP="00000000" w:rsidRDefault="00000000" w:rsidRPr="00000000" w14:paraId="00000048">
      <w:pPr>
        <w:rPr>
          <w:b w:val="0"/>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rtl w:val="0"/>
        </w:rPr>
      </w:r>
    </w:p>
    <w:sectPr>
      <w:headerReference r:id="rId11" w:type="default"/>
      <w:pgSz w:h="15840" w:w="12240"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tabs>
        <w:tab w:val="left" w:leader="none" w:pos="48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UPPSALA UNIVERSITET</w:t>
      <w:tab/>
      <w:t xml:space="preserve">ANSTÄLLNINGSPROFIL/ KUNGÖRELSE</w:t>
    </w:r>
  </w:p>
  <w:p w:rsidR="00000000" w:rsidDel="00000000" w:rsidP="00000000" w:rsidRDefault="00000000" w:rsidRPr="00000000" w14:paraId="0000004B">
    <w:pPr>
      <w:tabs>
        <w:tab w:val="left" w:leader="none" w:pos="48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Teknisk-naturvetenskapliga </w:t>
    </w:r>
  </w:p>
  <w:p w:rsidR="00000000" w:rsidDel="00000000" w:rsidP="00000000" w:rsidRDefault="00000000" w:rsidRPr="00000000" w14:paraId="0000004C">
    <w:pPr>
      <w:tabs>
        <w:tab w:val="left" w:leader="none" w:pos="48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fakultetsnämnden</w:t>
    </w:r>
    <w:r w:rsidDel="00000000" w:rsidR="00000000" w:rsidRPr="00000000">
      <w:rPr>
        <w:vertAlign w:val="baseline"/>
        <w:rtl w:val="0"/>
      </w:rPr>
      <w:tab/>
    </w:r>
    <w:r w:rsidDel="00000000" w:rsidR="00000000" w:rsidRPr="00000000">
      <w:rPr>
        <w:color w:val="000000"/>
        <w:vertAlign w:val="baseline"/>
        <w:rtl w:val="0"/>
      </w:rPr>
      <w:t xml:space="preserve">Datum</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sv-S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rnaud.ferrari@physics.uu.se" TargetMode="External"/><Relationship Id="rId9" Type="http://schemas.openxmlformats.org/officeDocument/2006/relationships/hyperlink" Target="https://www.uu.se/download/18.521b26ff18c42ff37f01105e/1702283640287/Instruktioner%20f%C3%B6r%20ans%C3%B6kan%20om%20anst%C3%A4llning%20170519.pdf" TargetMode="External"/><Relationship Id="rId5" Type="http://schemas.openxmlformats.org/officeDocument/2006/relationships/styles" Target="styles.xml"/><Relationship Id="rId6" Type="http://schemas.openxmlformats.org/officeDocument/2006/relationships/hyperlink" Target="https://www.uu.se/institution/fysik-och-astronomi/forskning/hogenergifysik" TargetMode="External"/><Relationship Id="rId7" Type="http://schemas.openxmlformats.org/officeDocument/2006/relationships/hyperlink" Target="http://regler.uu.se/dokument/?contentId=92570" TargetMode="External"/><Relationship Id="rId8" Type="http://schemas.openxmlformats.org/officeDocument/2006/relationships/hyperlink" Target="https://www.uu.se/medarbetare/organisation-styrning/regler/riktlinjer-for-anstallning-och--befordran-av-larare-samt-for--antagning-av-docent-och-av--excellent-larare-vid-teknisk--naturvetenskapliga-fakultet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UUinformationsansvarig">
    <vt:lpwstr>UUinformationsansvarig</vt:lpwstr>
  </property>
  <property fmtid="{D5CDD505-2E9C-101B-9397-08002B2CF9AE}" pid="3" name="Handläggare">
    <vt:lpwstr>Handläggare</vt:lpwstr>
  </property>
  <property fmtid="{D5CDD505-2E9C-101B-9397-08002B2CF9AE}" pid="4" name="display_urn:schemas-microsoft-com:office:office#Editor">
    <vt:lpwstr>Lovisa Högberg</vt:lpwstr>
  </property>
  <property fmtid="{D5CDD505-2E9C-101B-9397-08002B2CF9AE}" pid="5" name="display_urn:schemas-microsoft-com:office:office#Author">
    <vt:lpwstr>Marie Swanberg</vt:lpwstr>
  </property>
  <property fmtid="{D5CDD505-2E9C-101B-9397-08002B2CF9AE}" pid="6" name="UUar">
    <vt:lpwstr>UUar</vt:lpwstr>
  </property>
  <property fmtid="{D5CDD505-2E9C-101B-9397-08002B2CF9AE}" pid="7" name="UUdiarienummer">
    <vt:lpwstr>UUdiarienummer</vt:lpwstr>
  </property>
  <property fmtid="{D5CDD505-2E9C-101B-9397-08002B2CF9AE}" pid="8" name="UUgallringsdatum">
    <vt:lpwstr>UUgallringsdatum</vt:lpwstr>
  </property>
  <property fmtid="{D5CDD505-2E9C-101B-9397-08002B2CF9AE}" pid="9" name="UUrevisionsdatum">
    <vt:lpwstr>UUrevisionsdatum</vt:lpwstr>
  </property>
  <property fmtid="{D5CDD505-2E9C-101B-9397-08002B2CF9AE}" pid="10" name="Aktivitet">
    <vt:lpwstr>Aktivitet</vt:lpwstr>
  </property>
  <property fmtid="{D5CDD505-2E9C-101B-9397-08002B2CF9AE}" pid="11" name="Enhet">
    <vt:lpwstr>Enhet</vt:lpwstr>
  </property>
  <property fmtid="{D5CDD505-2E9C-101B-9397-08002B2CF9AE}" pid="12" name="Personuppgiftslista">
    <vt:lpwstr>Personuppgiftslista</vt:lpwstr>
  </property>
  <property fmtid="{D5CDD505-2E9C-101B-9397-08002B2CF9AE}" pid="13" name="_ExtendedDescription">
    <vt:lpwstr>_ExtendedDescription</vt:lpwstr>
  </property>
  <property fmtid="{D5CDD505-2E9C-101B-9397-08002B2CF9AE}" pid="14" name="UUdokumentdatum">
    <vt:lpwstr>UUdokumentdatum</vt:lpwstr>
  </property>
  <property fmtid="{D5CDD505-2E9C-101B-9397-08002B2CF9AE}" pid="15" name="lcf76f155ced4ddcb4097134ff3c332f">
    <vt:lpwstr>lcf76f155ced4ddcb4097134ff3c332f</vt:lpwstr>
  </property>
</Properties>
</file>