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47EB7" w14:textId="4A195112" w:rsidR="00027FCA" w:rsidRPr="00027FCA" w:rsidRDefault="000B0D63">
      <w:pPr>
        <w:rPr>
          <w:b/>
          <w:bCs/>
          <w:sz w:val="28"/>
          <w:szCs w:val="28"/>
        </w:rPr>
      </w:pPr>
      <w:r>
        <w:rPr>
          <w:b/>
          <w:bCs/>
          <w:sz w:val="28"/>
          <w:szCs w:val="28"/>
        </w:rPr>
        <w:t>Analys och nyckeltal</w:t>
      </w:r>
      <w:r w:rsidR="00027FCA" w:rsidRPr="00027FCA">
        <w:rPr>
          <w:b/>
          <w:bCs/>
          <w:sz w:val="28"/>
          <w:szCs w:val="28"/>
        </w:rPr>
        <w:t xml:space="preserve"> bokslut T2 2026</w:t>
      </w:r>
    </w:p>
    <w:p w14:paraId="5266AD6D" w14:textId="4BC31048" w:rsidR="00A74A24" w:rsidRDefault="009D1BD4">
      <w:r>
        <w:rPr>
          <w:noProof/>
        </w:rPr>
        <w:drawing>
          <wp:inline distT="0" distB="0" distL="0" distR="0" wp14:anchorId="181825B6" wp14:editId="1845FC66">
            <wp:extent cx="6267450" cy="2940050"/>
            <wp:effectExtent l="0" t="0" r="0" b="12700"/>
            <wp:docPr id="1" name="Diagram 1">
              <a:extLst xmlns:a="http://schemas.openxmlformats.org/drawingml/2006/main">
                <a:ext uri="{FF2B5EF4-FFF2-40B4-BE49-F238E27FC236}">
                  <a16:creationId xmlns:a16="http://schemas.microsoft.com/office/drawing/2014/main" id="{D7D87741-A4D5-4D57-8C1F-347A55354C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3AFD3F9D" w14:textId="0A1BF125" w:rsidR="009D1BD4" w:rsidRDefault="00027FCA">
      <w:r>
        <w:t>Kostnadso</w:t>
      </w:r>
      <w:r w:rsidR="003F28D2">
        <w:t>msättningen</w:t>
      </w:r>
      <w:r>
        <w:t xml:space="preserve"> och det utgående balanserade kapitalet</w:t>
      </w:r>
      <w:r w:rsidR="003F28D2">
        <w:t xml:space="preserve"> ökar. Vi använder mer av det oförbrukade bidraget (bla avskrivning anläggning).</w:t>
      </w:r>
      <w:r>
        <w:t xml:space="preserve"> Överskottsmarginaler GU 24,5% (över gränsen 10%), FO 12,6% (inom gränsen 15%</w:t>
      </w:r>
    </w:p>
    <w:p w14:paraId="23720DAB" w14:textId="17475D6F" w:rsidR="009D1BD4" w:rsidRDefault="00815E3C">
      <w:r w:rsidRPr="00815E3C">
        <w:drawing>
          <wp:inline distT="0" distB="0" distL="0" distR="0" wp14:anchorId="05D5D4A3" wp14:editId="774B1A92">
            <wp:extent cx="5626389" cy="2152761"/>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26389" cy="2152761"/>
                    </a:xfrm>
                    <a:prstGeom prst="rect">
                      <a:avLst/>
                    </a:prstGeom>
                  </pic:spPr>
                </pic:pic>
              </a:graphicData>
            </a:graphic>
          </wp:inline>
        </w:drawing>
      </w:r>
    </w:p>
    <w:p w14:paraId="27D831AF" w14:textId="350FF19F" w:rsidR="00815E3C" w:rsidRDefault="003F28D2">
      <w:r>
        <w:t>Följer intäkt och kostnaders flöde under året</w:t>
      </w:r>
      <w:r>
        <w:t xml:space="preserve"> gentemot föregående år inom forskningen. Något lägre omsättning jan-mars, men viss ökning i april. Därefter ligger årets aktivitet något under förra årets fram till augusti. </w:t>
      </w:r>
    </w:p>
    <w:p w14:paraId="1A9DF00D" w14:textId="7198E05E" w:rsidR="00815E3C" w:rsidRDefault="00815E3C">
      <w:r w:rsidRPr="00815E3C">
        <w:drawing>
          <wp:inline distT="0" distB="0" distL="0" distR="0" wp14:anchorId="690E187C" wp14:editId="5CCE4E26">
            <wp:extent cx="5569236" cy="2159111"/>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69236" cy="2159111"/>
                    </a:xfrm>
                    <a:prstGeom prst="rect">
                      <a:avLst/>
                    </a:prstGeom>
                  </pic:spPr>
                </pic:pic>
              </a:graphicData>
            </a:graphic>
          </wp:inline>
        </w:drawing>
      </w:r>
    </w:p>
    <w:p w14:paraId="10E46AD1" w14:textId="4626CCFB" w:rsidR="00815E3C" w:rsidRDefault="003F28D2">
      <w:r>
        <w:t>Motsvarande jämförelse inom utbildningen. Vi har större omsättning i år än förra året.</w:t>
      </w:r>
    </w:p>
    <w:p w14:paraId="0C1315FA" w14:textId="533ECC0B" w:rsidR="00815E3C" w:rsidRDefault="00815E3C"/>
    <w:p w14:paraId="2B26B2FD" w14:textId="191DB934" w:rsidR="00815E3C" w:rsidRDefault="00815E3C">
      <w:r w:rsidRPr="00815E3C">
        <w:lastRenderedPageBreak/>
        <w:drawing>
          <wp:inline distT="0" distB="0" distL="0" distR="0" wp14:anchorId="2456B58B" wp14:editId="2D7F4B12">
            <wp:extent cx="5150115" cy="3816546"/>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50115" cy="3816546"/>
                    </a:xfrm>
                    <a:prstGeom prst="rect">
                      <a:avLst/>
                    </a:prstGeom>
                  </pic:spPr>
                </pic:pic>
              </a:graphicData>
            </a:graphic>
          </wp:inline>
        </w:drawing>
      </w:r>
    </w:p>
    <w:p w14:paraId="12398D1D" w14:textId="6419747D" w:rsidR="009D1BD4" w:rsidRDefault="003F28D2">
      <w:r>
        <w:t>Resultat för hela institutionen. Vi har något lägre intäkter fram till augusti än förra året, men högre kostnadsomsättning.</w:t>
      </w:r>
    </w:p>
    <w:p w14:paraId="3F96C6BD" w14:textId="3F129B90" w:rsidR="004D3ACF" w:rsidRDefault="004D3ACF">
      <w:r>
        <w:t>På det hela ser ekonomin god ut. En stor del av det totala kapitalet 47 325 tkr finns på den institutionsgemensamma nivån 19 334 tkr. De flesta avdelningar har ett positivt kapital vilket uppväger det negativa kapital som några avdelningar redovisar.</w:t>
      </w:r>
    </w:p>
    <w:p w14:paraId="600ACB0C" w14:textId="77777777" w:rsidR="009D1BD4" w:rsidRDefault="009D1BD4"/>
    <w:p w14:paraId="20814200" w14:textId="77777777" w:rsidR="009D1BD4" w:rsidRDefault="009D1BD4"/>
    <w:sectPr w:rsidR="009D1BD4" w:rsidSect="00027FCA">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BD4"/>
    <w:rsid w:val="00027FCA"/>
    <w:rsid w:val="000B0D63"/>
    <w:rsid w:val="003F28D2"/>
    <w:rsid w:val="004D3ACF"/>
    <w:rsid w:val="00815E3C"/>
    <w:rsid w:val="009D1BD4"/>
    <w:rsid w:val="00A74A2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53BE"/>
  <w15:chartTrackingRefBased/>
  <w15:docId w15:val="{2FE68E71-BF4E-4A09-A1C2-29711687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hart" Target="charts/chart1.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argos.storage.uu.se\MyFolder$\carowall\Import-from-POL\My%20Documents\Ekonomi\Bokslut\Bokslut%20statistik.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 omsätt inst'!$B$15</c:f>
              <c:strCache>
                <c:ptCount val="1"/>
                <c:pt idx="0">
                  <c:v>2018</c:v>
                </c:pt>
              </c:strCache>
            </c:strRef>
          </c:tx>
          <c:spPr>
            <a:solidFill>
              <a:schemeClr val="accent1"/>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inst'!$B$16:$B$21</c:f>
              <c:numCache>
                <c:formatCode>General</c:formatCode>
                <c:ptCount val="6"/>
                <c:pt idx="0">
                  <c:v>-245946</c:v>
                </c:pt>
                <c:pt idx="1">
                  <c:v>-32013</c:v>
                </c:pt>
                <c:pt idx="2">
                  <c:v>48242</c:v>
                </c:pt>
                <c:pt idx="3">
                  <c:v>151302</c:v>
                </c:pt>
                <c:pt idx="4">
                  <c:v>28515</c:v>
                </c:pt>
                <c:pt idx="5">
                  <c:v>55808</c:v>
                </c:pt>
              </c:numCache>
            </c:numRef>
          </c:val>
          <c:extLst>
            <c:ext xmlns:c16="http://schemas.microsoft.com/office/drawing/2014/chart" uri="{C3380CC4-5D6E-409C-BE32-E72D297353CC}">
              <c16:uniqueId val="{00000000-2C21-42C6-98E4-B134FEC26609}"/>
            </c:ext>
          </c:extLst>
        </c:ser>
        <c:ser>
          <c:idx val="1"/>
          <c:order val="1"/>
          <c:tx>
            <c:strRef>
              <c:f>'Res omsätt inst'!$C$15</c:f>
              <c:strCache>
                <c:ptCount val="1"/>
                <c:pt idx="0">
                  <c:v>2019</c:v>
                </c:pt>
              </c:strCache>
            </c:strRef>
          </c:tx>
          <c:spPr>
            <a:solidFill>
              <a:schemeClr val="accent2"/>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inst'!$C$16:$C$21</c:f>
              <c:numCache>
                <c:formatCode>General</c:formatCode>
                <c:ptCount val="6"/>
                <c:pt idx="0">
                  <c:v>-252519</c:v>
                </c:pt>
                <c:pt idx="1">
                  <c:v>11787</c:v>
                </c:pt>
                <c:pt idx="2">
                  <c:v>50205</c:v>
                </c:pt>
                <c:pt idx="3">
                  <c:v>165070</c:v>
                </c:pt>
                <c:pt idx="4">
                  <c:v>48214</c:v>
                </c:pt>
                <c:pt idx="5">
                  <c:v>46113</c:v>
                </c:pt>
              </c:numCache>
            </c:numRef>
          </c:val>
          <c:extLst>
            <c:ext xmlns:c16="http://schemas.microsoft.com/office/drawing/2014/chart" uri="{C3380CC4-5D6E-409C-BE32-E72D297353CC}">
              <c16:uniqueId val="{00000001-2C21-42C6-98E4-B134FEC26609}"/>
            </c:ext>
          </c:extLst>
        </c:ser>
        <c:ser>
          <c:idx val="2"/>
          <c:order val="2"/>
          <c:tx>
            <c:strRef>
              <c:f>'Res omsätt inst'!$D$15</c:f>
              <c:strCache>
                <c:ptCount val="1"/>
                <c:pt idx="0">
                  <c:v>2020</c:v>
                </c:pt>
              </c:strCache>
            </c:strRef>
          </c:tx>
          <c:spPr>
            <a:solidFill>
              <a:schemeClr val="accent3"/>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inst'!$D$16:$D$21</c:f>
              <c:numCache>
                <c:formatCode>General</c:formatCode>
                <c:ptCount val="6"/>
                <c:pt idx="0">
                  <c:v>-251862</c:v>
                </c:pt>
                <c:pt idx="1">
                  <c:v>8410</c:v>
                </c:pt>
                <c:pt idx="2">
                  <c:v>60920</c:v>
                </c:pt>
                <c:pt idx="3">
                  <c:v>206714</c:v>
                </c:pt>
                <c:pt idx="4">
                  <c:v>52471</c:v>
                </c:pt>
                <c:pt idx="5">
                  <c:v>42613</c:v>
                </c:pt>
              </c:numCache>
            </c:numRef>
          </c:val>
          <c:extLst>
            <c:ext xmlns:c16="http://schemas.microsoft.com/office/drawing/2014/chart" uri="{C3380CC4-5D6E-409C-BE32-E72D297353CC}">
              <c16:uniqueId val="{00000002-2C21-42C6-98E4-B134FEC26609}"/>
            </c:ext>
          </c:extLst>
        </c:ser>
        <c:ser>
          <c:idx val="3"/>
          <c:order val="3"/>
          <c:tx>
            <c:strRef>
              <c:f>'Res omsätt inst'!$E$15</c:f>
              <c:strCache>
                <c:ptCount val="1"/>
                <c:pt idx="0">
                  <c:v>2021</c:v>
                </c:pt>
              </c:strCache>
            </c:strRef>
          </c:tx>
          <c:spPr>
            <a:solidFill>
              <a:schemeClr val="accent4"/>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inst'!$E$16:$E$21</c:f>
              <c:numCache>
                <c:formatCode>General</c:formatCode>
                <c:ptCount val="6"/>
                <c:pt idx="0">
                  <c:v>-261224</c:v>
                </c:pt>
                <c:pt idx="1">
                  <c:v>-3200</c:v>
                </c:pt>
                <c:pt idx="2">
                  <c:v>37957</c:v>
                </c:pt>
                <c:pt idx="3">
                  <c:v>215310</c:v>
                </c:pt>
                <c:pt idx="4">
                  <c:v>48709</c:v>
                </c:pt>
                <c:pt idx="5">
                  <c:v>34274</c:v>
                </c:pt>
              </c:numCache>
            </c:numRef>
          </c:val>
          <c:extLst>
            <c:ext xmlns:c16="http://schemas.microsoft.com/office/drawing/2014/chart" uri="{C3380CC4-5D6E-409C-BE32-E72D297353CC}">
              <c16:uniqueId val="{00000003-2C21-42C6-98E4-B134FEC26609}"/>
            </c:ext>
          </c:extLst>
        </c:ser>
        <c:ser>
          <c:idx val="4"/>
          <c:order val="4"/>
          <c:tx>
            <c:strRef>
              <c:f>'Res omsätt inst'!$F$15</c:f>
              <c:strCache>
                <c:ptCount val="1"/>
                <c:pt idx="0">
                  <c:v>2022</c:v>
                </c:pt>
              </c:strCache>
            </c:strRef>
          </c:tx>
          <c:spPr>
            <a:solidFill>
              <a:schemeClr val="accent5"/>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inst'!$F$16:$F$21</c:f>
              <c:numCache>
                <c:formatCode>General</c:formatCode>
                <c:ptCount val="6"/>
                <c:pt idx="0">
                  <c:v>-274076</c:v>
                </c:pt>
                <c:pt idx="1">
                  <c:v>-10548</c:v>
                </c:pt>
                <c:pt idx="2">
                  <c:v>35438</c:v>
                </c:pt>
                <c:pt idx="3">
                  <c:v>223054</c:v>
                </c:pt>
                <c:pt idx="4">
                  <c:v>57164</c:v>
                </c:pt>
                <c:pt idx="5">
                  <c:v>65850</c:v>
                </c:pt>
              </c:numCache>
            </c:numRef>
          </c:val>
          <c:extLst>
            <c:ext xmlns:c16="http://schemas.microsoft.com/office/drawing/2014/chart" uri="{C3380CC4-5D6E-409C-BE32-E72D297353CC}">
              <c16:uniqueId val="{00000004-2C21-42C6-98E4-B134FEC26609}"/>
            </c:ext>
          </c:extLst>
        </c:ser>
        <c:ser>
          <c:idx val="5"/>
          <c:order val="5"/>
          <c:tx>
            <c:strRef>
              <c:f>'Res omsätt inst'!$G$15</c:f>
              <c:strCache>
                <c:ptCount val="1"/>
                <c:pt idx="0">
                  <c:v>2023</c:v>
                </c:pt>
              </c:strCache>
            </c:strRef>
          </c:tx>
          <c:spPr>
            <a:solidFill>
              <a:schemeClr val="accent6"/>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inst'!$G$16:$G$21</c:f>
              <c:numCache>
                <c:formatCode>General</c:formatCode>
                <c:ptCount val="6"/>
                <c:pt idx="0">
                  <c:v>-272771</c:v>
                </c:pt>
                <c:pt idx="1">
                  <c:v>-11183</c:v>
                </c:pt>
                <c:pt idx="2">
                  <c:v>28341</c:v>
                </c:pt>
                <c:pt idx="3">
                  <c:v>277154</c:v>
                </c:pt>
                <c:pt idx="4">
                  <c:v>42789</c:v>
                </c:pt>
                <c:pt idx="5">
                  <c:v>74095</c:v>
                </c:pt>
              </c:numCache>
            </c:numRef>
          </c:val>
          <c:extLst>
            <c:ext xmlns:c16="http://schemas.microsoft.com/office/drawing/2014/chart" uri="{C3380CC4-5D6E-409C-BE32-E72D297353CC}">
              <c16:uniqueId val="{00000005-2C21-42C6-98E4-B134FEC26609}"/>
            </c:ext>
          </c:extLst>
        </c:ser>
        <c:ser>
          <c:idx val="6"/>
          <c:order val="6"/>
          <c:tx>
            <c:strRef>
              <c:f>'Res omsätt inst'!$H$15</c:f>
              <c:strCache>
                <c:ptCount val="1"/>
                <c:pt idx="0">
                  <c:v>2024</c:v>
                </c:pt>
              </c:strCache>
            </c:strRef>
          </c:tx>
          <c:spPr>
            <a:solidFill>
              <a:schemeClr val="accent1">
                <a:lumMod val="60000"/>
              </a:schemeClr>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inst'!$H$16:$H$21</c:f>
              <c:numCache>
                <c:formatCode>General</c:formatCode>
                <c:ptCount val="6"/>
                <c:pt idx="0">
                  <c:v>-289938</c:v>
                </c:pt>
                <c:pt idx="1">
                  <c:v>-6754</c:v>
                </c:pt>
                <c:pt idx="2">
                  <c:v>27605</c:v>
                </c:pt>
                <c:pt idx="3">
                  <c:v>306564</c:v>
                </c:pt>
                <c:pt idx="4">
                  <c:v>42466</c:v>
                </c:pt>
                <c:pt idx="5">
                  <c:v>124922</c:v>
                </c:pt>
              </c:numCache>
            </c:numRef>
          </c:val>
          <c:extLst>
            <c:ext xmlns:c16="http://schemas.microsoft.com/office/drawing/2014/chart" uri="{C3380CC4-5D6E-409C-BE32-E72D297353CC}">
              <c16:uniqueId val="{00000006-2C21-42C6-98E4-B134FEC26609}"/>
            </c:ext>
          </c:extLst>
        </c:ser>
        <c:ser>
          <c:idx val="7"/>
          <c:order val="7"/>
          <c:tx>
            <c:strRef>
              <c:f>'Res omsätt inst'!$I$15</c:f>
              <c:strCache>
                <c:ptCount val="1"/>
                <c:pt idx="0">
                  <c:v>2025</c:v>
                </c:pt>
              </c:strCache>
            </c:strRef>
          </c:tx>
          <c:spPr>
            <a:solidFill>
              <a:schemeClr val="accent2">
                <a:lumMod val="60000"/>
              </a:schemeClr>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inst'!$I$16:$I$21</c:f>
              <c:numCache>
                <c:formatCode>General</c:formatCode>
                <c:ptCount val="6"/>
                <c:pt idx="0">
                  <c:v>-306139</c:v>
                </c:pt>
                <c:pt idx="1">
                  <c:v>6390</c:v>
                </c:pt>
                <c:pt idx="2">
                  <c:v>34143</c:v>
                </c:pt>
                <c:pt idx="3">
                  <c:v>299383</c:v>
                </c:pt>
                <c:pt idx="4">
                  <c:v>53027</c:v>
                </c:pt>
                <c:pt idx="5">
                  <c:v>104886</c:v>
                </c:pt>
              </c:numCache>
            </c:numRef>
          </c:val>
          <c:extLst>
            <c:ext xmlns:c16="http://schemas.microsoft.com/office/drawing/2014/chart" uri="{C3380CC4-5D6E-409C-BE32-E72D297353CC}">
              <c16:uniqueId val="{00000007-2C21-42C6-98E4-B134FEC26609}"/>
            </c:ext>
          </c:extLst>
        </c:ser>
        <c:ser>
          <c:idx val="8"/>
          <c:order val="8"/>
          <c:tx>
            <c:strRef>
              <c:f>'Res omsätt inst'!$J$15</c:f>
              <c:strCache>
                <c:ptCount val="1"/>
                <c:pt idx="0">
                  <c:v>2026</c:v>
                </c:pt>
              </c:strCache>
            </c:strRef>
          </c:tx>
          <c:spPr>
            <a:solidFill>
              <a:schemeClr val="accent3">
                <a:lumMod val="60000"/>
              </a:schemeClr>
            </a:solidFill>
            <a:ln>
              <a:noFill/>
            </a:ln>
            <a:effectLst/>
          </c:spPr>
          <c:invertIfNegative val="0"/>
          <c:cat>
            <c:strRef>
              <c:f>'Res omsätt inst'!$A$16:$A$21</c:f>
              <c:strCache>
                <c:ptCount val="6"/>
                <c:pt idx="0">
                  <c:v>Omsätt kost</c:v>
                </c:pt>
                <c:pt idx="1">
                  <c:v>Resultat</c:v>
                </c:pt>
                <c:pt idx="2">
                  <c:v>Bal kap</c:v>
                </c:pt>
                <c:pt idx="3">
                  <c:v>Oförbr bidr, förutbet</c:v>
                </c:pt>
                <c:pt idx="4">
                  <c:v>Kontraktsford</c:v>
                </c:pt>
                <c:pt idx="5">
                  <c:v>Anlägg tillg</c:v>
                </c:pt>
              </c:strCache>
            </c:strRef>
          </c:cat>
          <c:val>
            <c:numRef>
              <c:f>'Res omsätt inst'!$J$16:$J$21</c:f>
              <c:numCache>
                <c:formatCode>General</c:formatCode>
                <c:ptCount val="6"/>
                <c:pt idx="0">
                  <c:v>-319185</c:v>
                </c:pt>
                <c:pt idx="1">
                  <c:v>844</c:v>
                </c:pt>
                <c:pt idx="2">
                  <c:v>47325</c:v>
                </c:pt>
                <c:pt idx="3">
                  <c:v>266265</c:v>
                </c:pt>
                <c:pt idx="4">
                  <c:v>70297</c:v>
                </c:pt>
                <c:pt idx="5">
                  <c:v>96021</c:v>
                </c:pt>
              </c:numCache>
            </c:numRef>
          </c:val>
          <c:extLst>
            <c:ext xmlns:c16="http://schemas.microsoft.com/office/drawing/2014/chart" uri="{C3380CC4-5D6E-409C-BE32-E72D297353CC}">
              <c16:uniqueId val="{00000008-2C21-42C6-98E4-B134FEC26609}"/>
            </c:ext>
          </c:extLst>
        </c:ser>
        <c:dLbls>
          <c:showLegendKey val="0"/>
          <c:showVal val="0"/>
          <c:showCatName val="0"/>
          <c:showSerName val="0"/>
          <c:showPercent val="0"/>
          <c:showBubbleSize val="0"/>
        </c:dLbls>
        <c:gapWidth val="182"/>
        <c:axId val="233276095"/>
        <c:axId val="230635711"/>
      </c:barChart>
      <c:catAx>
        <c:axId val="233276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sv-SE"/>
          </a:p>
        </c:txPr>
        <c:crossAx val="230635711"/>
        <c:crosses val="autoZero"/>
        <c:auto val="1"/>
        <c:lblAlgn val="ctr"/>
        <c:lblOffset val="100"/>
        <c:noMultiLvlLbl val="0"/>
      </c:catAx>
      <c:valAx>
        <c:axId val="230635711"/>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Tkr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sv-SE"/>
            </a:p>
          </c:txPr>
        </c:title>
        <c:numFmt formatCode="General" sourceLinked="1"/>
        <c:majorTickMark val="none"/>
        <c:minorTickMark val="none"/>
        <c:tickLblPos val="nextTo"/>
        <c:crossAx val="233276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sv-S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150</Words>
  <Characters>798</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Wallström-Pan</dc:creator>
  <cp:keywords/>
  <dc:description/>
  <cp:lastModifiedBy>Carolina Wallström-Pan</cp:lastModifiedBy>
  <cp:revision>4</cp:revision>
  <dcterms:created xsi:type="dcterms:W3CDTF">2026-09-22T14:49:00Z</dcterms:created>
  <dcterms:modified xsi:type="dcterms:W3CDTF">2026-09-22T16:18:00Z</dcterms:modified>
</cp:coreProperties>
</file>